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4497" w14:textId="77777777" w:rsidR="003B1A8A" w:rsidRDefault="000E5B2E" w:rsidP="000E5B2E">
      <w:pPr>
        <w:tabs>
          <w:tab w:val="left" w:pos="3024"/>
          <w:tab w:val="center" w:pos="4671"/>
        </w:tabs>
        <w:adjustRightInd w:val="0"/>
        <w:jc w:val="left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tab/>
      </w:r>
      <w:r>
        <w:rPr>
          <w:b/>
          <w:bCs/>
          <w:color w:val="000000"/>
          <w:kern w:val="0"/>
          <w:sz w:val="96"/>
          <w:szCs w:val="100"/>
        </w:rPr>
        <w:tab/>
      </w:r>
      <w:r w:rsidR="00000000">
        <w:rPr>
          <w:b/>
          <w:bCs/>
          <w:color w:val="000000"/>
          <w:kern w:val="0"/>
          <w:sz w:val="96"/>
          <w:szCs w:val="100"/>
        </w:rPr>
        <w:pict w14:anchorId="06676319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2053" type="#_x0000_t161" style="position:absolute;margin-left:1.95pt;margin-top:23.95pt;width:464.3pt;height:51pt;z-index:-251660800;mso-position-horizontal-relative:text;mso-position-vertical-relative:text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14:paraId="0F863059" w14:textId="77777777" w:rsidR="003B1A8A" w:rsidRPr="00A630DB" w:rsidRDefault="003B1A8A" w:rsidP="00A630DB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14:paraId="29F9717E" w14:textId="77777777" w:rsidR="003B1A8A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475162AA">
          <v:shape id="艺术字 102" o:spid="_x0000_s2052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3〕03号"/>
          </v:shape>
        </w:pict>
      </w:r>
    </w:p>
    <w:p w14:paraId="6183BA39" w14:textId="77777777" w:rsidR="003B1A8A" w:rsidRDefault="0000000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b/>
          <w:bCs/>
          <w:color w:val="000000"/>
          <w:kern w:val="0"/>
          <w:sz w:val="96"/>
          <w:szCs w:val="100"/>
        </w:rPr>
        <w:pict w14:anchorId="1842F086">
          <v:line id="直线 100" o:spid="_x0000_s2051" style="position:absolute;left:0;text-align:left;z-index:251657728" from="5.6pt,10pt" to="469.9pt,10pt" strokecolor="red" strokeweight="2pt"/>
        </w:pict>
      </w:r>
    </w:p>
    <w:p w14:paraId="158C198A" w14:textId="67B015F1" w:rsidR="007308A9" w:rsidRPr="000E1766" w:rsidRDefault="000A0F77" w:rsidP="004F273D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关于</w:t>
      </w:r>
      <w:bookmarkStart w:id="0" w:name="OLE_LINK1"/>
      <w:r w:rsidR="004F273D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举办</w:t>
      </w:r>
      <w:r w:rsidR="000E1766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培训管理重难点解析</w:t>
      </w:r>
      <w:r w:rsidR="00D520AA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及</w:t>
      </w:r>
      <w:r w:rsidR="00D520AA" w:rsidRPr="00D520AA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探秘华为培训和华为大学</w:t>
      </w:r>
      <w:r w:rsidR="004F273D" w:rsidRPr="000E1766">
        <w:rPr>
          <w:rFonts w:ascii="方正小标宋简体" w:eastAsia="方正小标宋简体" w:hAnsi="华文中宋" w:hint="eastAsia"/>
          <w:b/>
          <w:color w:val="000000"/>
          <w:sz w:val="36"/>
          <w:szCs w:val="36"/>
        </w:rPr>
        <w:t>专题培训班的通知</w:t>
      </w:r>
    </w:p>
    <w:p w14:paraId="3ABC8E23" w14:textId="77777777" w:rsidR="003B1A8A" w:rsidRDefault="003B1A8A" w:rsidP="00155B90">
      <w:pPr>
        <w:spacing w:beforeLines="100" w:before="312" w:line="34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14:paraId="6EA5A7BC" w14:textId="77777777" w:rsidR="000E1766" w:rsidRPr="000E1766" w:rsidRDefault="000E1766" w:rsidP="00155B90">
      <w:pPr>
        <w:spacing w:line="340" w:lineRule="exact"/>
        <w:ind w:firstLineChars="200" w:firstLine="560"/>
        <w:rPr>
          <w:rFonts w:ascii="宋体" w:hAnsi="宋体" w:cs="仿宋_GB2312"/>
          <w:bCs/>
          <w:color w:val="191919"/>
          <w:sz w:val="28"/>
          <w:szCs w:val="28"/>
          <w:shd w:val="clear" w:color="auto" w:fill="FFFFFF"/>
        </w:rPr>
      </w:pPr>
      <w:r w:rsidRPr="000E1766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时代的发展赋予培训更深的意义，从师徒制、再到课堂培训等，培训技术的发展并不意味着培训效果的满意。国内很多企业培训大学开始都做得风生水起，可是时间是检验成功的尺子。随着今日头条解散培训团队、</w:t>
      </w:r>
      <w:r w:rsidR="00FF496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xx</w:t>
      </w:r>
      <w:r w:rsidRPr="000E1766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大学等企业大学的解散，被誉为专业培训的标杆瞬间坍塌。从形式上说，几乎所有的培训部门都在做表面专业的培训。但从本质上说，只有为数不多的企业才在做真正的培训。</w:t>
      </w:r>
    </w:p>
    <w:p w14:paraId="6420BB06" w14:textId="77777777" w:rsidR="004F273D" w:rsidRPr="008F343D" w:rsidRDefault="000E1766" w:rsidP="00155B90">
      <w:pPr>
        <w:pStyle w:val="af3"/>
        <w:spacing w:line="340" w:lineRule="exact"/>
        <w:ind w:leftChars="201" w:left="422" w:firstLineChars="50" w:firstLine="140"/>
        <w:jc w:val="left"/>
        <w:rPr>
          <w:rFonts w:ascii="宋体" w:hAnsi="宋体" w:cs="仿宋_GB2312"/>
          <w:b/>
          <w:bCs/>
          <w:color w:val="191919"/>
          <w:sz w:val="28"/>
          <w:szCs w:val="28"/>
          <w:shd w:val="clear" w:color="auto" w:fill="FFFFFF"/>
        </w:rPr>
      </w:pPr>
      <w:r w:rsidRPr="000E1766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本课程的观点比较新颖和颠覆性的。课程以培训面临的虚假繁荣远远满足不了实际业务的需要出发，彻底剖析培训的深层次病灶，并给出较为创新的灵活培训机制和实操技巧。其次，课程针对企业培训的未来方向：企业大学进行颠覆解读，帮助企业成就真正有价值的企业大学。最后，课程以华为大学为实际案例，对培训的定位、运作和项目设计等进行分享，并以重新认识企业大学的角度，分析培训的根源和运作</w:t>
      </w:r>
      <w:r>
        <w:rPr>
          <w:rFonts w:ascii="微软雅黑" w:eastAsia="微软雅黑" w:hAnsi="微软雅黑" w:hint="eastAsia"/>
          <w:sz w:val="24"/>
        </w:rPr>
        <w:t>。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为了解决这一系列问题，我中心特开设了“</w:t>
      </w:r>
      <w:r w:rsidRPr="000E1766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华为大学与华为培训体系建设及培训管理重难点解析</w:t>
      </w:r>
      <w:r w:rsidR="004F273D" w:rsidRPr="008F343D">
        <w:rPr>
          <w:rFonts w:ascii="宋体" w:hAnsi="宋体" w:cs="仿宋_GB2312" w:hint="eastAsia"/>
          <w:bCs/>
          <w:color w:val="191919"/>
          <w:sz w:val="28"/>
          <w:szCs w:val="28"/>
          <w:shd w:val="clear" w:color="auto" w:fill="FFFFFF"/>
        </w:rPr>
        <w:t>”专题培训班。</w:t>
      </w:r>
      <w:r w:rsidR="004F273D" w:rsidRPr="008F343D">
        <w:rPr>
          <w:rFonts w:ascii="宋体" w:hAnsi="宋体" w:cs="仿宋_GB2312" w:hint="eastAsia"/>
          <w:b/>
          <w:bCs/>
          <w:color w:val="191919"/>
          <w:sz w:val="28"/>
          <w:szCs w:val="28"/>
          <w:shd w:val="clear" w:color="auto" w:fill="FFFFFF"/>
        </w:rPr>
        <w:t>现将有关事项通知如下：</w:t>
      </w:r>
    </w:p>
    <w:p w14:paraId="56B3CC64" w14:textId="77777777" w:rsidR="004F273D" w:rsidRPr="008F343D" w:rsidRDefault="004F273D" w:rsidP="00155B90">
      <w:pPr>
        <w:tabs>
          <w:tab w:val="left" w:pos="1134"/>
        </w:tabs>
        <w:spacing w:line="340" w:lineRule="exact"/>
        <w:ind w:leftChars="269" w:left="706" w:hangingChars="50" w:hanging="141"/>
        <w:jc w:val="left"/>
        <w:rPr>
          <w:rFonts w:ascii="宋体" w:hAnsi="宋体" w:cs="微软雅黑"/>
          <w:b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b/>
          <w:color w:val="000000"/>
          <w:sz w:val="28"/>
          <w:szCs w:val="28"/>
        </w:rPr>
        <w:t>一、培训内容</w:t>
      </w:r>
    </w:p>
    <w:p w14:paraId="4AB4F1CB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第一讲：重塑愿景</w:t>
      </w:r>
      <w:r w:rsidRPr="00455754">
        <w:rPr>
          <w:rFonts w:ascii="宋体" w:hAnsi="宋体" w:cs="宋体"/>
          <w:b/>
          <w:color w:val="000000"/>
          <w:sz w:val="28"/>
          <w:szCs w:val="28"/>
        </w:rPr>
        <w:t>——</w:t>
      </w: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 xml:space="preserve">打造企业培训新风向 </w:t>
      </w:r>
    </w:p>
    <w:p w14:paraId="1AACCDF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一、人才铸就成功</w:t>
      </w:r>
    </w:p>
    <w:p w14:paraId="72655E2E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1．人才的关键作用</w:t>
      </w:r>
    </w:p>
    <w:p w14:paraId="35DAFD6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2．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人才的能力进化和境界</w:t>
      </w:r>
    </w:p>
    <w:p w14:paraId="2D391C09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3．人才发展的核心关键</w:t>
      </w:r>
    </w:p>
    <w:p w14:paraId="02F54C2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二、走出培训的泥沼</w:t>
      </w:r>
    </w:p>
    <w:p w14:paraId="1777479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1．培训的核心作用</w:t>
      </w:r>
    </w:p>
    <w:p w14:paraId="56013F8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2．培训的方式方法</w:t>
      </w:r>
    </w:p>
    <w:p w14:paraId="08EECAD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3．培训的核心误区</w:t>
      </w:r>
    </w:p>
    <w:p w14:paraId="4BE8D87F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4．走出培训形式化的关键</w:t>
      </w:r>
    </w:p>
    <w:p w14:paraId="3EC66F0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5．传统培训的笑话和消亡</w:t>
      </w:r>
    </w:p>
    <w:p w14:paraId="5D9E592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三、重构企业培训体系</w:t>
      </w:r>
    </w:p>
    <w:p w14:paraId="1ECEFF7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企业培训的核心目的</w:t>
      </w:r>
    </w:p>
    <w:p w14:paraId="062A567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2．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企业培训的手段误区</w:t>
      </w:r>
    </w:p>
    <w:p w14:paraId="2143C07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lastRenderedPageBreak/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企业培训打造的灵活性和定位</w:t>
      </w:r>
    </w:p>
    <w:p w14:paraId="3F3C4A29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第二讲：实战操作——培训链接战略和绩效</w:t>
      </w:r>
    </w:p>
    <w:p w14:paraId="06F5DD1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一、培训如何上接战略</w:t>
      </w:r>
    </w:p>
    <w:p w14:paraId="212E844F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以岗位胜任力模型为中心的培训模式或将破产</w:t>
      </w:r>
    </w:p>
    <w:p w14:paraId="109687D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培训是企业战略转型的有效手段</w:t>
      </w:r>
    </w:p>
    <w:p w14:paraId="79E62555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与战略上搭界的培训无效果</w:t>
      </w:r>
    </w:p>
    <w:p w14:paraId="0D33331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培训是管理者的重要职责</w:t>
      </w:r>
    </w:p>
    <w:p w14:paraId="003C44C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企业大学是企业变革的助推器</w:t>
      </w:r>
    </w:p>
    <w:p w14:paraId="2327B2C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二、如何让培训出绩效</w:t>
      </w:r>
    </w:p>
    <w:p w14:paraId="45025B6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与业务规划一致</w:t>
      </w:r>
    </w:p>
    <w:p w14:paraId="06786D5C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立身越高、价值越大</w:t>
      </w:r>
    </w:p>
    <w:p w14:paraId="5508231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紧贴业务的内容开发</w:t>
      </w:r>
    </w:p>
    <w:p w14:paraId="3436D37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课程内容聚焦业务需要</w:t>
      </w:r>
    </w:p>
    <w:p w14:paraId="365B593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微行动学习保证培训效果落地</w:t>
      </w:r>
    </w:p>
    <w:p w14:paraId="697A7CC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6．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讲究实效的课堂培训</w:t>
      </w:r>
    </w:p>
    <w:p w14:paraId="1B11CA6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课后持续强化和学员交流</w:t>
      </w:r>
    </w:p>
    <w:p w14:paraId="148F2279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三、学习地图的局限和妙用</w:t>
      </w:r>
    </w:p>
    <w:p w14:paraId="522A26E4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全面看待学习地图</w:t>
      </w:r>
    </w:p>
    <w:p w14:paraId="3622D5B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2．不同层级学习地图的关键</w:t>
      </w:r>
    </w:p>
    <w:p w14:paraId="716E967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3．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人才成长路径图及发展规划</w:t>
      </w:r>
    </w:p>
    <w:p w14:paraId="3A9029A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7</w:t>
      </w:r>
      <w:r w:rsidRPr="00455754">
        <w:rPr>
          <w:rFonts w:ascii="宋体" w:hAnsi="宋体" w:cs="宋体"/>
          <w:color w:val="000000"/>
          <w:sz w:val="28"/>
          <w:szCs w:val="28"/>
        </w:rPr>
        <w:t>21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全面激发人才培养</w:t>
      </w:r>
    </w:p>
    <w:p w14:paraId="479AC96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四、如何针对性的成就培训需求</w:t>
      </w:r>
    </w:p>
    <w:p w14:paraId="182D572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找准需求比满足需求更重要</w:t>
      </w:r>
    </w:p>
    <w:p w14:paraId="1E761C43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2．5Why分析法找到核心培训需求</w:t>
      </w:r>
    </w:p>
    <w:p w14:paraId="3426F1AF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3．站在更高角度考虑培训需求</w:t>
      </w:r>
    </w:p>
    <w:p w14:paraId="55129B04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以部门目标为核心梳理培训关键</w:t>
      </w:r>
    </w:p>
    <w:p w14:paraId="45D1DD7E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5．培训需求Goldstein模型</w:t>
      </w:r>
    </w:p>
    <w:p w14:paraId="1F2AF9F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五、行动学习，让培训成为一种工作方式</w:t>
      </w:r>
    </w:p>
    <w:p w14:paraId="4EC49F12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行动学习的意义</w:t>
      </w:r>
    </w:p>
    <w:p w14:paraId="681758AB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</w:t>
      </w:r>
      <w:r w:rsidRPr="00455754">
        <w:rPr>
          <w:rFonts w:ascii="宋体" w:hAnsi="宋体" w:cs="宋体"/>
          <w:color w:val="000000"/>
          <w:sz w:val="28"/>
          <w:szCs w:val="28"/>
        </w:rPr>
        <w:t>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行动学习的普及方法和步骤</w:t>
      </w:r>
    </w:p>
    <w:p w14:paraId="62B17DDF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第三讲：培训未来——企业大学和真正培训</w:t>
      </w:r>
    </w:p>
    <w:p w14:paraId="4E36C77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一、企业大学的类型和立足点</w:t>
      </w:r>
    </w:p>
    <w:p w14:paraId="268F69A4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1．企业大学的类型</w:t>
      </w:r>
    </w:p>
    <w:p w14:paraId="66D475A5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2．企业大学的发展阶段</w:t>
      </w:r>
    </w:p>
    <w:p w14:paraId="7FB21633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3．企业大学的立足点</w:t>
      </w:r>
    </w:p>
    <w:p w14:paraId="6E0AABDE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二、真正企业大学的思考</w:t>
      </w:r>
    </w:p>
    <w:p w14:paraId="2A7061E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1．企业大学的价值从战略角度运营企业大学</w:t>
      </w:r>
    </w:p>
    <w:p w14:paraId="3468B74E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2．企业大学的功能：培训和研究</w:t>
      </w:r>
    </w:p>
    <w:p w14:paraId="304D03C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3．企业大学的角色：三驾马车</w:t>
      </w:r>
    </w:p>
    <w:p w14:paraId="1595C37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4．企业大学的战略架构</w:t>
      </w:r>
    </w:p>
    <w:p w14:paraId="2D78FA49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5．企业大学的资金模式</w:t>
      </w:r>
    </w:p>
    <w:p w14:paraId="152689A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lastRenderedPageBreak/>
        <w:t>6．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企业大学的核心机构</w:t>
      </w:r>
    </w:p>
    <w:p w14:paraId="027AA76E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7．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企业大学的核心产品</w:t>
      </w:r>
    </w:p>
    <w:p w14:paraId="3675D47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8．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企业大学的运作体系</w:t>
      </w:r>
    </w:p>
    <w:p w14:paraId="6163D6B5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9．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企业大学发展路径</w:t>
      </w:r>
    </w:p>
    <w:p w14:paraId="4E30BE90" w14:textId="77777777" w:rsidR="00455754" w:rsidRPr="00455754" w:rsidRDefault="00455754" w:rsidP="00155B90">
      <w:pPr>
        <w:widowControl/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第四讲：成功分享——华为培训和企业大学</w:t>
      </w:r>
    </w:p>
    <w:p w14:paraId="3F0B67D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一、华为如何搭建人才培养体系</w:t>
      </w:r>
    </w:p>
    <w:p w14:paraId="339C630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．华为的发展和现状</w:t>
      </w:r>
    </w:p>
    <w:p w14:paraId="1190B46E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2．华为在人才发展上面里的挑战</w:t>
      </w:r>
    </w:p>
    <w:p w14:paraId="7766971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3．华为不同阶段的人才培养</w:t>
      </w:r>
    </w:p>
    <w:p w14:paraId="35BFDB0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4．华为人才培养的特点</w:t>
      </w:r>
    </w:p>
    <w:p w14:paraId="1C42448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二、认识华为培训发展</w:t>
      </w:r>
    </w:p>
    <w:p w14:paraId="354BD698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1．华为大学的发展阶段</w:t>
      </w:r>
    </w:p>
    <w:p w14:paraId="3974601C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2．华为大学的战略定位</w:t>
      </w:r>
    </w:p>
    <w:p w14:paraId="4097D250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3．华为大学如何赋能</w:t>
      </w:r>
    </w:p>
    <w:p w14:paraId="1B6C0D1F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4．华为大学价值观</w:t>
      </w:r>
    </w:p>
    <w:p w14:paraId="1B4031BC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5．华为大学的校训</w:t>
      </w:r>
    </w:p>
    <w:p w14:paraId="08C0BA1D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三、华为培训的业务和运作</w:t>
      </w:r>
    </w:p>
    <w:p w14:paraId="64B0A294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1．华为的教学理念</w:t>
      </w:r>
    </w:p>
    <w:p w14:paraId="675A02DF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2．华为的组织架构</w:t>
      </w:r>
    </w:p>
    <w:p w14:paraId="032D0F90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3．华为的核心业务</w:t>
      </w:r>
    </w:p>
    <w:p w14:paraId="72BAC60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4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．华为的教学策略</w:t>
      </w:r>
    </w:p>
    <w:p w14:paraId="024BD5A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5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．华为的培训项目运作</w:t>
      </w:r>
    </w:p>
    <w:p w14:paraId="32507A27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四、华为的人才培养</w:t>
      </w:r>
    </w:p>
    <w:p w14:paraId="546B082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1．华为如何培养高级管理干部</w:t>
      </w:r>
    </w:p>
    <w:p w14:paraId="2923C24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2．华为如何培养中基层管理干部</w:t>
      </w:r>
    </w:p>
    <w:p w14:paraId="5BE164BA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/>
          <w:color w:val="000000"/>
          <w:sz w:val="28"/>
          <w:szCs w:val="28"/>
        </w:rPr>
        <w:t>1</w:t>
      </w:r>
      <w:r w:rsidRPr="00455754">
        <w:rPr>
          <w:rFonts w:ascii="宋体" w:hAnsi="宋体" w:cs="宋体" w:hint="eastAsia"/>
          <w:color w:val="000000"/>
          <w:sz w:val="28"/>
          <w:szCs w:val="28"/>
        </w:rPr>
        <w:t>）一线骨干到管理者的转变</w:t>
      </w:r>
    </w:p>
    <w:p w14:paraId="70E21739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2）教精神、教方法重于教知识</w:t>
      </w:r>
    </w:p>
    <w:p w14:paraId="2CA1D5E0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3）中基层管理培训班之青训班</w:t>
      </w:r>
    </w:p>
    <w:p w14:paraId="5796C911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3．华为如何做新员工培训</w:t>
      </w:r>
    </w:p>
    <w:p w14:paraId="4EAC7115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b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b/>
          <w:color w:val="000000"/>
          <w:sz w:val="28"/>
          <w:szCs w:val="28"/>
        </w:rPr>
        <w:t>五、华为培训自身建设和发展</w:t>
      </w:r>
    </w:p>
    <w:p w14:paraId="487B1FA6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1．华为培训的教学设计和开发</w:t>
      </w:r>
    </w:p>
    <w:p w14:paraId="367A0829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2．华为内训师队伍建设</w:t>
      </w:r>
    </w:p>
    <w:p w14:paraId="0297D31B" w14:textId="77777777" w:rsidR="00455754" w:rsidRPr="00455754" w:rsidRDefault="00455754" w:rsidP="00155B90">
      <w:pPr>
        <w:spacing w:line="340" w:lineRule="exact"/>
        <w:ind w:leftChars="270" w:left="567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3．培训效果评估</w:t>
      </w:r>
    </w:p>
    <w:p w14:paraId="158A6DDB" w14:textId="77777777" w:rsidR="004F273D" w:rsidRPr="00455754" w:rsidRDefault="00455754" w:rsidP="00155B90">
      <w:pPr>
        <w:tabs>
          <w:tab w:val="left" w:pos="1134"/>
        </w:tabs>
        <w:spacing w:line="340" w:lineRule="exact"/>
        <w:ind w:leftChars="270" w:left="567"/>
        <w:jc w:val="left"/>
        <w:rPr>
          <w:rFonts w:ascii="宋体" w:hAnsi="宋体" w:cs="宋体"/>
          <w:color w:val="000000"/>
          <w:sz w:val="28"/>
          <w:szCs w:val="28"/>
        </w:rPr>
      </w:pPr>
      <w:r w:rsidRPr="00455754">
        <w:rPr>
          <w:rFonts w:ascii="宋体" w:hAnsi="宋体" w:cs="宋体" w:hint="eastAsia"/>
          <w:color w:val="000000"/>
          <w:sz w:val="28"/>
          <w:szCs w:val="28"/>
        </w:rPr>
        <w:t>4．华为培训平台建设</w:t>
      </w:r>
    </w:p>
    <w:p w14:paraId="7AA52321" w14:textId="77777777" w:rsidR="00455754" w:rsidRPr="00730C52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二、研修时间地点</w:t>
      </w:r>
    </w:p>
    <w:p w14:paraId="21002131" w14:textId="7C843380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2023年3月10日至3月13日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北京市</w:t>
      </w:r>
      <w:bookmarkStart w:id="1" w:name="_Hlk122610073"/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10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  <w:bookmarkEnd w:id="1"/>
    </w:p>
    <w:p w14:paraId="1D062AE5" w14:textId="10BB5DF4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2023年3月15日至3月18日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南宁市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15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10A861B8" w14:textId="05BD8F9D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2023年3月22日至3月25日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深圳市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22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26B9911C" w14:textId="60ABE334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</w:t>
      </w:r>
      <w:r>
        <w:rPr>
          <w:rFonts w:ascii="宋体" w:hAnsi="宋体" w:cs="宋体" w:hint="eastAsia"/>
          <w:color w:val="000000"/>
          <w:sz w:val="28"/>
          <w:szCs w:val="28"/>
        </w:rPr>
        <w:t>0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>7日至4月10日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成都市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07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38009AAA" w14:textId="4BCE0E26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2023年4月12日至4月15日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上海市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12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0A3A4E24" w14:textId="3E9C3D1B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2023年4月19日至4月22日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西安市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19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79D48182" w14:textId="14952EB7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lastRenderedPageBreak/>
        <w:t>2023年5月10日至5月13日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珠海市</w:t>
      </w:r>
      <w:r w:rsidR="00496035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496035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10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68794E89" w14:textId="5E15ED69" w:rsidR="00702216" w:rsidRPr="00702216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2023年5月17日至5月20日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</w:r>
      <w:r w:rsidR="00496035" w:rsidRPr="00496035">
        <w:rPr>
          <w:rFonts w:ascii="宋体" w:hAnsi="宋体" w:cs="宋体" w:hint="eastAsia"/>
          <w:color w:val="000000"/>
          <w:sz w:val="28"/>
          <w:szCs w:val="28"/>
        </w:rPr>
        <w:t>雄安新区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17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20E8B837" w14:textId="0AD2110D" w:rsidR="00BE2684" w:rsidRDefault="00702216" w:rsidP="00702216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宋体"/>
          <w:color w:val="000000"/>
          <w:sz w:val="28"/>
          <w:szCs w:val="28"/>
        </w:rPr>
      </w:pPr>
      <w:r w:rsidRPr="00702216">
        <w:rPr>
          <w:rFonts w:ascii="宋体" w:hAnsi="宋体" w:cs="宋体" w:hint="eastAsia"/>
          <w:color w:val="000000"/>
          <w:sz w:val="28"/>
          <w:szCs w:val="28"/>
        </w:rPr>
        <w:t>2023年5月24日至5月27日</w:t>
      </w:r>
      <w:r w:rsidRPr="00702216">
        <w:rPr>
          <w:rFonts w:ascii="宋体" w:hAnsi="宋体" w:cs="宋体" w:hint="eastAsia"/>
          <w:color w:val="000000"/>
          <w:sz w:val="28"/>
          <w:szCs w:val="28"/>
        </w:rPr>
        <w:tab/>
        <w:t>杭州市</w:t>
      </w:r>
      <w:r w:rsidR="00496035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496035">
        <w:rPr>
          <w:rFonts w:ascii="宋体" w:hAnsi="宋体" w:cs="宋体"/>
          <w:color w:val="000000"/>
          <w:sz w:val="28"/>
          <w:szCs w:val="28"/>
        </w:rPr>
        <w:t xml:space="preserve"> 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24</w:t>
      </w:r>
      <w:r w:rsidRPr="00F66EDC">
        <w:rPr>
          <w:rFonts w:ascii="宋体" w:hAnsi="宋体" w:cs="宋体" w:hint="eastAsia"/>
          <w:color w:val="000000"/>
          <w:sz w:val="28"/>
          <w:szCs w:val="28"/>
        </w:rPr>
        <w:t>日全天报到）</w:t>
      </w:r>
    </w:p>
    <w:p w14:paraId="1FCD656D" w14:textId="77777777" w:rsidR="004F273D" w:rsidRPr="00D270FB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三、培训对象</w:t>
      </w:r>
    </w:p>
    <w:p w14:paraId="25B8CBFC" w14:textId="77777777" w:rsidR="004F273D" w:rsidRPr="008F343D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企业大学、培训中心、人力资源总监/经理、培训总监/经理、企业内训师、人力资源从业者及相关人员。</w:t>
      </w:r>
    </w:p>
    <w:p w14:paraId="3D763DAA" w14:textId="77777777" w:rsidR="004F273D" w:rsidRPr="00D270FB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四、主讲老师</w:t>
      </w:r>
    </w:p>
    <w:p w14:paraId="7C2888A8" w14:textId="77777777" w:rsidR="004F273D" w:rsidRPr="008F343D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3A0F966F" w14:textId="77777777" w:rsidR="004F273D" w:rsidRPr="00D270FB" w:rsidRDefault="004F273D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五、报名办法及费用</w:t>
      </w:r>
    </w:p>
    <w:p w14:paraId="030AEE7A" w14:textId="5F263881" w:rsidR="00227C5B" w:rsidRPr="008F343D" w:rsidRDefault="00227C5B" w:rsidP="00155B90">
      <w:pPr>
        <w:pStyle w:val="ae"/>
        <w:tabs>
          <w:tab w:val="left" w:pos="540"/>
        </w:tabs>
        <w:adjustRightInd w:val="0"/>
        <w:snapToGrid w:val="0"/>
        <w:spacing w:line="34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A类收费：3</w:t>
      </w:r>
      <w:r w:rsidR="00197C30">
        <w:rPr>
          <w:rFonts w:ascii="宋体" w:hAnsi="宋体" w:cs="微软雅黑"/>
          <w:color w:val="000000"/>
          <w:sz w:val="28"/>
          <w:szCs w:val="28"/>
        </w:rPr>
        <w:t>8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0元/人（含培训、师资、场地、资料等费用）；</w:t>
      </w:r>
    </w:p>
    <w:p w14:paraId="556B831A" w14:textId="182860A1" w:rsidR="00227C5B" w:rsidRPr="008F343D" w:rsidRDefault="00227C5B" w:rsidP="00155B90">
      <w:pPr>
        <w:pStyle w:val="ae"/>
        <w:tabs>
          <w:tab w:val="left" w:pos="540"/>
        </w:tabs>
        <w:adjustRightInd w:val="0"/>
        <w:snapToGrid w:val="0"/>
        <w:spacing w:line="340" w:lineRule="exact"/>
        <w:ind w:leftChars="270" w:left="567" w:rightChars="100" w:right="210" w:firstLineChars="0" w:firstLine="0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B类收费：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46</w:t>
      </w:r>
      <w:r w:rsidR="00813FF7">
        <w:rPr>
          <w:rFonts w:ascii="宋体" w:hAnsi="宋体" w:cs="微软雅黑"/>
          <w:color w:val="000000"/>
          <w:sz w:val="28"/>
          <w:szCs w:val="28"/>
        </w:rPr>
        <w:t>8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0元/人（含培训、师资、场地、资料、证书等费用）。</w:t>
      </w:r>
    </w:p>
    <w:p w14:paraId="189172E9" w14:textId="77777777" w:rsidR="0058433B" w:rsidRPr="008F343D" w:rsidRDefault="00227C5B" w:rsidP="00155B90">
      <w:pPr>
        <w:tabs>
          <w:tab w:val="left" w:pos="1134"/>
        </w:tabs>
        <w:spacing w:line="34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8F343D">
        <w:rPr>
          <w:rFonts w:ascii="宋体" w:hAnsi="宋体" w:cs="微软雅黑"/>
          <w:color w:val="000000"/>
          <w:sz w:val="28"/>
          <w:szCs w:val="28"/>
        </w:rPr>
        <w:t>02000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9640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9000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</w:t>
      </w:r>
      <w:r w:rsidRPr="008F343D">
        <w:rPr>
          <w:rFonts w:ascii="宋体" w:hAnsi="宋体" w:cs="微软雅黑"/>
          <w:color w:val="000000"/>
          <w:sz w:val="28"/>
          <w:szCs w:val="28"/>
        </w:rPr>
        <w:t>026879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，开 户 行：中国工商银行北京万寿路南口支行），培训费发票由会务组统一开具。</w:t>
      </w:r>
    </w:p>
    <w:p w14:paraId="1EF225CB" w14:textId="04559521" w:rsidR="00655CDB" w:rsidRPr="00155B90" w:rsidRDefault="0058433B" w:rsidP="00E339E8">
      <w:pPr>
        <w:pStyle w:val="af3"/>
        <w:numPr>
          <w:ilvl w:val="0"/>
          <w:numId w:val="1"/>
        </w:numPr>
        <w:tabs>
          <w:tab w:val="left" w:pos="1134"/>
        </w:tabs>
        <w:spacing w:line="340" w:lineRule="exact"/>
        <w:ind w:firstLineChars="0" w:hanging="153"/>
        <w:rPr>
          <w:rFonts w:ascii="宋体" w:hAnsi="宋体" w:cs="微软雅黑"/>
          <w:color w:val="000000"/>
          <w:sz w:val="28"/>
          <w:szCs w:val="28"/>
        </w:rPr>
      </w:pPr>
      <w:r w:rsidRPr="00155B90">
        <w:rPr>
          <w:rFonts w:ascii="宋体" w:hAnsi="宋体" w:cs="微软雅黑" w:hint="eastAsia"/>
          <w:b/>
          <w:color w:val="000000"/>
          <w:sz w:val="28"/>
          <w:szCs w:val="28"/>
        </w:rPr>
        <w:t>经培训考试合格</w:t>
      </w:r>
      <w:r w:rsidRPr="00155B90">
        <w:rPr>
          <w:rFonts w:ascii="宋体" w:hAnsi="宋体" w:cs="微软雅黑" w:hint="eastAsia"/>
          <w:color w:val="000000"/>
          <w:sz w:val="28"/>
          <w:szCs w:val="28"/>
        </w:rPr>
        <w:t>，由</w:t>
      </w:r>
      <w:r w:rsidRPr="00155B90">
        <w:rPr>
          <w:rFonts w:ascii="宋体" w:hAnsi="宋体" w:cs="微软雅黑" w:hint="eastAsia"/>
          <w:b/>
          <w:color w:val="000000"/>
          <w:sz w:val="28"/>
          <w:szCs w:val="28"/>
        </w:rPr>
        <w:t>中国职业教育资格认证中心颁发</w:t>
      </w:r>
      <w:r w:rsidRPr="00155B90">
        <w:rPr>
          <w:rFonts w:ascii="宋体" w:hAnsi="宋体" w:cs="微软雅黑" w:hint="eastAsia"/>
          <w:color w:val="000000"/>
          <w:sz w:val="28"/>
          <w:szCs w:val="28"/>
        </w:rPr>
        <w:t>《企业培训师（高级）》或《人力资源管理师（高级）》岗位能力证书、全网查询www.cveqc.org.cn（全国职业教育技能认证网），全国通用。</w:t>
      </w:r>
      <w:hyperlink r:id="rId7" w:history="1">
        <w:r w:rsidRPr="00155B90">
          <w:rPr>
            <w:rFonts w:ascii="宋体" w:hAnsi="宋体" w:cs="微软雅黑" w:hint="eastAsia"/>
            <w:color w:val="000000"/>
            <w:sz w:val="28"/>
            <w:szCs w:val="28"/>
          </w:rPr>
          <w:t>需邮件提交：身份证复印件、学历证</w:t>
        </w:r>
      </w:hyperlink>
      <w:r w:rsidRPr="00155B90">
        <w:rPr>
          <w:rFonts w:ascii="宋体" w:hAnsi="宋体" w:cs="微软雅黑" w:hint="eastAsia"/>
          <w:color w:val="000000"/>
          <w:sz w:val="28"/>
          <w:szCs w:val="28"/>
        </w:rPr>
        <w:t>复印件、2寸红底免冠彩照电子档（JPG格式）.</w:t>
      </w:r>
    </w:p>
    <w:p w14:paraId="49DB7CF5" w14:textId="628755AD" w:rsidR="00155B90" w:rsidRPr="00155B90" w:rsidRDefault="00155B90" w:rsidP="00A3349A">
      <w:pPr>
        <w:tabs>
          <w:tab w:val="left" w:pos="1134"/>
        </w:tabs>
        <w:spacing w:line="340" w:lineRule="exact"/>
        <w:ind w:leftChars="270" w:left="567"/>
        <w:rPr>
          <w:rFonts w:ascii="宋体" w:hAnsi="宋体" w:cs="微软雅黑"/>
          <w:color w:val="000000"/>
          <w:sz w:val="28"/>
          <w:szCs w:val="28"/>
        </w:rPr>
      </w:pPr>
      <w:r w:rsidRPr="00155B90">
        <w:rPr>
          <w:rFonts w:ascii="宋体" w:hAnsi="宋体" w:cs="微软雅黑" w:hint="eastAsia"/>
          <w:b/>
          <w:bCs/>
          <w:color w:val="000000"/>
          <w:sz w:val="28"/>
          <w:szCs w:val="28"/>
        </w:rPr>
        <w:t>备注：</w:t>
      </w:r>
      <w:r w:rsidRPr="00155B90">
        <w:rPr>
          <w:rFonts w:ascii="宋体" w:hAnsi="宋体" w:cs="微软雅黑" w:hint="eastAsia"/>
          <w:color w:val="000000"/>
          <w:sz w:val="28"/>
          <w:szCs w:val="28"/>
        </w:rPr>
        <w:t>由人力资源和社会保障部教育培训中心颁发 《人力资源法务咨询总监》证书，证书可在人力资源和社会保障部教育培训网：http://edu.mohrss.gov.cn/查询。详情来电咨询。</w:t>
      </w:r>
    </w:p>
    <w:p w14:paraId="4AA0ABB8" w14:textId="77777777" w:rsidR="003B1A8A" w:rsidRPr="00D270FB" w:rsidRDefault="003B1A8A" w:rsidP="00155B90">
      <w:pPr>
        <w:pStyle w:val="af3"/>
        <w:numPr>
          <w:ilvl w:val="0"/>
          <w:numId w:val="1"/>
        </w:numPr>
        <w:tabs>
          <w:tab w:val="left" w:pos="720"/>
          <w:tab w:val="left" w:pos="1080"/>
        </w:tabs>
        <w:spacing w:line="340" w:lineRule="exact"/>
        <w:ind w:leftChars="270" w:left="685" w:hangingChars="42" w:hanging="118"/>
        <w:rPr>
          <w:rFonts w:ascii="宋体" w:hAnsi="宋体" w:cs="微软雅黑"/>
          <w:b/>
          <w:color w:val="000000"/>
          <w:sz w:val="28"/>
          <w:szCs w:val="28"/>
        </w:rPr>
      </w:pPr>
      <w:r w:rsidRPr="00D270FB">
        <w:rPr>
          <w:rFonts w:ascii="宋体" w:hAnsi="宋体" w:cs="微软雅黑" w:hint="eastAsia"/>
          <w:b/>
          <w:color w:val="000000"/>
          <w:sz w:val="28"/>
          <w:szCs w:val="28"/>
        </w:rPr>
        <w:t>会务组联系方式</w:t>
      </w:r>
    </w:p>
    <w:p w14:paraId="10E89CEB" w14:textId="77777777" w:rsidR="003B1A8A" w:rsidRPr="008F343D" w:rsidRDefault="007D5023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负 责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人：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李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旭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13671212151</w:t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（微信同号）</w:t>
      </w:r>
    </w:p>
    <w:p w14:paraId="46D8AC80" w14:textId="77777777" w:rsidR="003B1A8A" w:rsidRPr="008F343D" w:rsidRDefault="003B1A8A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咨询电话：010-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82471925/82472805</w:t>
      </w:r>
    </w:p>
    <w:p w14:paraId="015E8F22" w14:textId="77777777" w:rsidR="008F34F4" w:rsidRPr="008F343D" w:rsidRDefault="003B1A8A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传    真：010-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82475455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 xml:space="preserve">   </w:t>
      </w:r>
    </w:p>
    <w:p w14:paraId="23A5BCA8" w14:textId="77777777" w:rsidR="003B1A8A" w:rsidRPr="008F343D" w:rsidRDefault="003B1A8A" w:rsidP="00155B90">
      <w:pPr>
        <w:tabs>
          <w:tab w:val="left" w:pos="1134"/>
        </w:tabs>
        <w:spacing w:line="340" w:lineRule="exact"/>
        <w:ind w:leftChars="270" w:left="685" w:hangingChars="42" w:hanging="118"/>
        <w:rPr>
          <w:rFonts w:ascii="宋体" w:hAnsi="宋体" w:cs="微软雅黑"/>
          <w:color w:val="000000"/>
          <w:sz w:val="28"/>
          <w:szCs w:val="28"/>
        </w:rPr>
      </w:pPr>
      <w:r w:rsidRPr="008F343D">
        <w:rPr>
          <w:rFonts w:ascii="宋体" w:hAnsi="宋体" w:cs="微软雅黑" w:hint="eastAsia"/>
          <w:color w:val="000000"/>
          <w:sz w:val="28"/>
          <w:szCs w:val="28"/>
        </w:rPr>
        <w:t>咨询报名邮箱：</w:t>
      </w:r>
      <w:bookmarkStart w:id="2" w:name="发文日期"/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1007944993@qq.com</w:t>
      </w:r>
    </w:p>
    <w:bookmarkEnd w:id="2"/>
    <w:p w14:paraId="28434071" w14:textId="77777777" w:rsidR="003B1A8A" w:rsidRDefault="000E2CBD" w:rsidP="008124FF">
      <w:pPr>
        <w:tabs>
          <w:tab w:val="left" w:pos="1134"/>
        </w:tabs>
        <w:spacing w:line="360" w:lineRule="exact"/>
        <w:ind w:leftChars="270" w:left="685" w:hangingChars="42" w:hanging="11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8F343D">
        <w:rPr>
          <w:rFonts w:ascii="宋体" w:hAnsi="宋体" w:cs="微软雅黑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B11F335" wp14:editId="5AAC30BD">
            <wp:simplePos x="0" y="0"/>
            <wp:positionH relativeFrom="column">
              <wp:posOffset>3435350</wp:posOffset>
            </wp:positionH>
            <wp:positionV relativeFrom="paragraph">
              <wp:posOffset>191135</wp:posOffset>
            </wp:positionV>
            <wp:extent cx="1443990" cy="1443990"/>
            <wp:effectExtent l="19050" t="0" r="381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 w:rsidRPr="008F343D">
        <w:rPr>
          <w:rFonts w:ascii="宋体" w:hAnsi="宋体" w:cs="微软雅黑" w:hint="eastAsia"/>
          <w:color w:val="000000"/>
          <w:sz w:val="28"/>
          <w:szCs w:val="28"/>
        </w:rPr>
        <w:t>附件：报名回执表</w:t>
      </w:r>
    </w:p>
    <w:p w14:paraId="370BF200" w14:textId="77777777" w:rsidR="003B1A8A" w:rsidRPr="00267CB5" w:rsidRDefault="003B1A8A" w:rsidP="00267CB5">
      <w:pPr>
        <w:pStyle w:val="ad"/>
        <w:spacing w:line="560" w:lineRule="exact"/>
        <w:ind w:right="261"/>
        <w:rPr>
          <w:rFonts w:ascii="仿宋_GB2312" w:eastAsia="仿宋_GB2312" w:hAnsi="仿宋_GB2312" w:cs="仿宋_GB2312"/>
          <w:color w:val="333333"/>
          <w:sz w:val="30"/>
          <w:szCs w:val="30"/>
        </w:rPr>
      </w:pPr>
    </w:p>
    <w:p w14:paraId="604FBC02" w14:textId="77777777" w:rsidR="003B1A8A" w:rsidRPr="008F343D" w:rsidRDefault="003B1A8A">
      <w:pPr>
        <w:pStyle w:val="ad"/>
        <w:spacing w:line="560" w:lineRule="exact"/>
        <w:ind w:right="261" w:firstLineChars="200" w:firstLine="560"/>
        <w:jc w:val="center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 w:rsidRPr="008F343D">
        <w:rPr>
          <w:rFonts w:ascii="宋体" w:hAnsi="宋体" w:cs="微软雅黑" w:hint="eastAsia"/>
          <w:color w:val="000000"/>
          <w:sz w:val="28"/>
          <w:szCs w:val="28"/>
        </w:rPr>
        <w:t>国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企联培企业管理（北京）中心</w:t>
      </w:r>
      <w:r w:rsidRPr="008F343D">
        <w:rPr>
          <w:rFonts w:ascii="宋体" w:hAnsi="宋体" w:cs="微软雅黑"/>
          <w:color w:val="000000"/>
          <w:sz w:val="28"/>
          <w:szCs w:val="28"/>
        </w:rPr>
        <w:t xml:space="preserve">                                         </w:t>
      </w:r>
    </w:p>
    <w:p w14:paraId="6DEC7E54" w14:textId="0F0B42C0"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8F343D">
        <w:rPr>
          <w:rFonts w:ascii="宋体" w:hAnsi="宋体" w:cs="微软雅黑"/>
          <w:color w:val="000000"/>
          <w:sz w:val="28"/>
          <w:szCs w:val="28"/>
        </w:rPr>
        <w:t>20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="00D520AA">
        <w:rPr>
          <w:rFonts w:ascii="宋体" w:hAnsi="宋体" w:cs="微软雅黑"/>
          <w:color w:val="000000"/>
          <w:sz w:val="28"/>
          <w:szCs w:val="28"/>
        </w:rPr>
        <w:t>3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年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2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月</w:t>
      </w:r>
      <w:r w:rsidR="003233AE" w:rsidRPr="008F343D">
        <w:rPr>
          <w:rFonts w:ascii="宋体" w:hAnsi="宋体" w:cs="微软雅黑" w:hint="eastAsia"/>
          <w:color w:val="000000"/>
          <w:sz w:val="28"/>
          <w:szCs w:val="28"/>
        </w:rPr>
        <w:t>6</w:t>
      </w:r>
      <w:r w:rsidRPr="008F343D">
        <w:rPr>
          <w:rFonts w:ascii="宋体" w:hAnsi="宋体" w:cs="微软雅黑" w:hint="eastAsia"/>
          <w:color w:val="000000"/>
          <w:sz w:val="28"/>
          <w:szCs w:val="28"/>
        </w:rPr>
        <w:t>日</w:t>
      </w:r>
    </w:p>
    <w:p w14:paraId="24B7420C" w14:textId="77777777"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14:paraId="256D7EA2" w14:textId="77777777" w:rsidR="007A2D6A" w:rsidRPr="008F343D" w:rsidRDefault="00ED3B52" w:rsidP="00BD01F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宋体" w:hAnsi="宋体" w:cs="仿宋_GB2312"/>
          <w:b/>
          <w:bCs/>
          <w:color w:val="191919"/>
          <w:sz w:val="36"/>
          <w:szCs w:val="36"/>
          <w:shd w:val="clear" w:color="auto" w:fill="FFFFFF"/>
        </w:rPr>
      </w:pPr>
      <w:r w:rsidRPr="00ED3B52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lastRenderedPageBreak/>
        <w:t>华为大学与华为培训体系建设及培训管理重难点解析</w:t>
      </w:r>
      <w:r w:rsidR="008E5739" w:rsidRPr="008F343D">
        <w:rPr>
          <w:rFonts w:ascii="宋体" w:hAnsi="宋体" w:cs="仿宋_GB2312" w:hint="eastAsia"/>
          <w:b/>
          <w:bCs/>
          <w:color w:val="191919"/>
          <w:sz w:val="36"/>
          <w:szCs w:val="36"/>
          <w:shd w:val="clear" w:color="auto" w:fill="FFFFFF"/>
        </w:rPr>
        <w:t>报名回执表</w:t>
      </w:r>
    </w:p>
    <w:p w14:paraId="749FD022" w14:textId="77777777" w:rsidR="007A2D6A" w:rsidRPr="00E658AA" w:rsidRDefault="007A2D6A" w:rsidP="00BD01FA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hAnsi="宋体"/>
          <w:sz w:val="24"/>
        </w:rPr>
      </w:pPr>
      <w:r w:rsidRPr="008E5739">
        <w:rPr>
          <w:rFonts w:ascii="仿宋_GB2312" w:eastAsia="仿宋_GB2312" w:hAnsi="仿宋_GB2312" w:cs="仿宋_GB2312" w:hint="eastAsia"/>
          <w:b/>
          <w:bCs/>
          <w:color w:val="191919"/>
          <w:sz w:val="28"/>
          <w:szCs w:val="28"/>
          <w:shd w:val="clear" w:color="auto" w:fill="FFFFFF"/>
        </w:rPr>
        <w:t>报名传真：(010)82475455   邮箱：guoqipei@vip.163.com</w:t>
      </w:r>
      <w:r w:rsidRPr="002C0F97">
        <w:rPr>
          <w:rFonts w:ascii="宋体" w:hAnsi="宋体" w:hint="eastAsia"/>
          <w:b/>
          <w:sz w:val="28"/>
          <w:szCs w:val="28"/>
        </w:rPr>
        <w:t xml:space="preserve">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D270FB" w14:paraId="30104869" w14:textId="77777777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14:paraId="3200ACE7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14:paraId="5EF5D9D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297E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14:paraId="167A0C07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C283B" w14:textId="395DC221" w:rsidR="007A2D6A" w:rsidRPr="00D270FB" w:rsidRDefault="00702216" w:rsidP="003C3E85">
            <w:pPr>
              <w:spacing w:line="24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全年计划</w:t>
            </w:r>
          </w:p>
        </w:tc>
      </w:tr>
      <w:tr w:rsidR="007A2D6A" w:rsidRPr="00D270FB" w14:paraId="36FB6F8F" w14:textId="77777777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14:paraId="7BB6A9F9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14:paraId="29A3C0C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A265301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14:paraId="7B4B0B4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08FB97CE" w14:textId="77777777"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04C8675" w14:textId="77777777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14:paraId="66F3A3DA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bookmarkStart w:id="3" w:name="_Hlk114753712"/>
          </w:p>
        </w:tc>
        <w:tc>
          <w:tcPr>
            <w:tcW w:w="6075" w:type="dxa"/>
            <w:gridSpan w:val="6"/>
            <w:vMerge/>
            <w:vAlign w:val="center"/>
          </w:tcPr>
          <w:p w14:paraId="2BE1D968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0" w:type="dxa"/>
            <w:vMerge/>
            <w:vAlign w:val="center"/>
          </w:tcPr>
          <w:p w14:paraId="125E444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14:paraId="456CFA1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1C934E4B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2023年6月2日至6月5日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重庆市</w:t>
            </w:r>
          </w:p>
          <w:p w14:paraId="5A2F5C60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2023年6月14日至6月17日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青岛市</w:t>
            </w:r>
          </w:p>
          <w:p w14:paraId="65F7B380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2023年6月21日至6月24日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南京市</w:t>
            </w:r>
          </w:p>
          <w:p w14:paraId="6AAE3387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2023年7月5日至7月8日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威海市</w:t>
            </w:r>
          </w:p>
          <w:p w14:paraId="37FBAFD0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2023年7月14日至7月17日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贵阳市</w:t>
            </w:r>
          </w:p>
          <w:p w14:paraId="4D949C5F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2023年7月19日至7月22日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593FD23C" w14:textId="65AC0F2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2023年7月26日至7月29日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</w:r>
            <w:r w:rsidR="00496035" w:rsidRPr="00496035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雄安新区</w:t>
            </w:r>
          </w:p>
          <w:p w14:paraId="00712CF4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2023年8月2日至8月5日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西宁市</w:t>
            </w:r>
          </w:p>
          <w:p w14:paraId="10D6485D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2023年8月9日至8月12日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大连市</w:t>
            </w:r>
          </w:p>
          <w:p w14:paraId="07A2C259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2023年8月16日至8月19日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包头市</w:t>
            </w:r>
          </w:p>
          <w:p w14:paraId="0A0695E8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2023年8月23日至8月26日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长沙市</w:t>
            </w:r>
          </w:p>
          <w:p w14:paraId="39B19EA4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2023年9月8日至9月11日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杭州市</w:t>
            </w:r>
          </w:p>
          <w:p w14:paraId="6E1FC1FE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2023年9月13日9月16日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南宁市</w:t>
            </w:r>
          </w:p>
          <w:p w14:paraId="53622FA6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2023年9月20日至9月23日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78CACF3D" w14:textId="7E732EE5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2023年10月11日至10月14日厦门市</w:t>
            </w:r>
          </w:p>
          <w:p w14:paraId="177D527F" w14:textId="23DB15C8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2023年10月18日至10月21日贵阳市</w:t>
            </w:r>
          </w:p>
          <w:p w14:paraId="3DD28503" w14:textId="26DF669C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2023年10月25日至10月28日上海市</w:t>
            </w:r>
          </w:p>
          <w:p w14:paraId="5045AABE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2023年11月8日至11月11日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昆明市</w:t>
            </w:r>
          </w:p>
          <w:p w14:paraId="1BB40F05" w14:textId="6370370D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2023年11月15日至11月18日广州市</w:t>
            </w:r>
          </w:p>
          <w:p w14:paraId="65B0FE0B" w14:textId="62FCD965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2023年11月22日至11月25日北海市</w:t>
            </w:r>
          </w:p>
          <w:p w14:paraId="520ED3EC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2023年12月6日至12月9日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成都市</w:t>
            </w:r>
          </w:p>
          <w:p w14:paraId="1DE4DC1A" w14:textId="77777777" w:rsidR="00702216" w:rsidRPr="00702216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2023年12月13日至12月16日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深圳市</w:t>
            </w:r>
          </w:p>
          <w:p w14:paraId="2A1FC81B" w14:textId="6FDCA357" w:rsidR="00BE2684" w:rsidRPr="0072423D" w:rsidRDefault="00702216" w:rsidP="00702216">
            <w:pPr>
              <w:spacing w:line="30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2023年12月20日至12月23日</w:t>
            </w:r>
            <w:r w:rsidRP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ab/>
              <w:t>海口市</w:t>
            </w:r>
          </w:p>
        </w:tc>
      </w:tr>
      <w:bookmarkEnd w:id="3"/>
      <w:tr w:rsidR="007A2D6A" w:rsidRPr="00D270FB" w14:paraId="6593316B" w14:textId="77777777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14:paraId="32CEF765" w14:textId="77777777"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4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48F59CB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11899C61" w14:textId="77777777"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6740F9CC" w14:textId="77777777"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2BBE8AB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传 真</w:t>
            </w:r>
          </w:p>
          <w:p w14:paraId="3DD9AEA1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630D2D67" w14:textId="77777777"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0B93BD3C" w14:textId="77777777"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14:paraId="3DCF6117" w14:textId="77777777" w:rsidR="007A2D6A" w:rsidRPr="00D270FB" w:rsidRDefault="007A2D6A" w:rsidP="003C3E85">
            <w:pPr>
              <w:widowControl/>
              <w:jc w:val="lef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57CC9555" w14:textId="77777777" w:rsidR="007A2D6A" w:rsidRPr="00D270FB" w:rsidRDefault="007A2D6A" w:rsidP="003C3E85">
            <w:pPr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5E89BFE2" w14:textId="77777777"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1C3626DA" w14:textId="77777777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14:paraId="5ADBBA6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3A8BB84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1D2A0724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7060A72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14:paraId="46F94A0D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AA844" w14:textId="77777777"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34BD79C0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47D2D1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3138D362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6C121743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0D135C2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AC4077C" w14:textId="77777777" w:rsidR="007A2D6A" w:rsidRPr="00D270FB" w:rsidRDefault="007A2D6A" w:rsidP="000F1E14">
            <w:pPr>
              <w:numPr>
                <w:ilvl w:val="0"/>
                <w:numId w:val="2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5FF16C" w14:textId="77777777" w:rsidR="007A2D6A" w:rsidRPr="00D270FB" w:rsidRDefault="007A2D6A" w:rsidP="00D270FB">
            <w:pPr>
              <w:ind w:firstLineChars="98" w:firstLine="235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6E280507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63F4997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39B00E1F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321A9554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0DF77BB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58010DF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165B8" w14:textId="77777777"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7424A4F7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1055DEC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4950F853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4253552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11F7951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21E480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3EBD02E3" w14:textId="77777777"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D4E88DD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CD98427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7FAF9FB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0F8EF744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7AB09FC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64EE7859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8BCD4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5D1D25A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38E553FD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50D3D23F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6935A3B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9D65B6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F7C5F0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571BCA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6E05DF0E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D7F827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1FBDCD4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4F79DF5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117AA4D7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29128C78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A3B28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E5F3184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724B0462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42F41DCF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2A2871E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6CA7883B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7222384A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D66EA3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9297B66" w14:textId="77777777" w:rsidTr="003C3E85">
        <w:trPr>
          <w:cantSplit/>
          <w:trHeight w:hRule="exact" w:val="464"/>
        </w:trPr>
        <w:tc>
          <w:tcPr>
            <w:tcW w:w="1586" w:type="dxa"/>
          </w:tcPr>
          <w:p w14:paraId="14FB67AD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</w:tcPr>
          <w:p w14:paraId="0BC51FB5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</w:tcPr>
          <w:p w14:paraId="245E1DA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</w:tcPr>
          <w:p w14:paraId="49A43A4D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</w:tcPr>
          <w:p w14:paraId="3C5D836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5C6D3" w14:textId="77777777" w:rsidR="007A2D6A" w:rsidRPr="00D270FB" w:rsidRDefault="007A2D6A" w:rsidP="00D270FB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480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189BA104" w14:textId="77777777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14:paraId="376FBD5D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4C0734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61414A1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7B686583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6F0B4AB3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3D9576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4B679C9D" w14:textId="77777777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14:paraId="257CE56E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A71A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2E8B9901" w14:textId="77777777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14:paraId="60F017AA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C8AC6C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</w:tr>
      <w:tr w:rsidR="007A2D6A" w:rsidRPr="00D270FB" w14:paraId="1D12B091" w14:textId="77777777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14:paraId="3C799940" w14:textId="77777777" w:rsidR="007A2D6A" w:rsidRPr="00D270FB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F695" w14:textId="77777777"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</w:p>
          <w:p w14:paraId="2D186CCD" w14:textId="5BC3AC34" w:rsidR="007A2D6A" w:rsidRPr="00D270FB" w:rsidRDefault="007A2D6A" w:rsidP="003C3E85">
            <w:pPr>
              <w:spacing w:line="480" w:lineRule="auto"/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</w:pPr>
            <w:r w:rsidRPr="00702216">
              <w:rPr>
                <w:rFonts w:ascii="宋体" w:hAnsi="宋体" w:cs="仿宋_GB2312" w:hint="eastAsia"/>
                <w:b/>
                <w:color w:val="191919"/>
                <w:sz w:val="24"/>
                <w:shd w:val="clear" w:color="auto" w:fill="FFFFFF"/>
              </w:rPr>
              <w:t>请备注参加培训班地点</w:t>
            </w:r>
            <w:r w:rsid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（ </w:t>
            </w:r>
            <w:r w:rsidR="00702216">
              <w:rPr>
                <w:rFonts w:ascii="宋体" w:hAnsi="宋体" w:cs="仿宋_GB2312"/>
                <w:bCs/>
                <w:color w:val="191919"/>
                <w:sz w:val="24"/>
                <w:shd w:val="clear" w:color="auto" w:fill="FFFFFF"/>
              </w:rPr>
              <w:t xml:space="preserve">           </w:t>
            </w:r>
            <w:r w:rsidR="00702216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>）</w:t>
            </w:r>
            <w:r w:rsidRPr="00D270FB">
              <w:rPr>
                <w:rFonts w:ascii="宋体" w:hAnsi="宋体" w:cs="仿宋_GB2312" w:hint="eastAsia"/>
                <w:bCs/>
                <w:color w:val="191919"/>
                <w:sz w:val="24"/>
                <w:shd w:val="clear" w:color="auto" w:fill="FFFFFF"/>
              </w:rPr>
              <w:t xml:space="preserve">              </w:t>
            </w:r>
          </w:p>
        </w:tc>
      </w:tr>
    </w:tbl>
    <w:p w14:paraId="710C7813" w14:textId="77777777" w:rsidR="003B1A8A" w:rsidRPr="007A2D6A" w:rsidRDefault="007A2D6A" w:rsidP="008E5739"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备注：1、此表可复制，填好后须加盖公章有效  </w:t>
      </w:r>
      <w:r w:rsidRPr="00343921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ab/>
        <w:t>2、此表填好后请在开班前五日传真至我中心。</w:t>
      </w:r>
    </w:p>
    <w:sectPr w:rsidR="003B1A8A" w:rsidRPr="007A2D6A" w:rsidSect="00854D8F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42A0" w14:textId="77777777" w:rsidR="004A7600" w:rsidRDefault="004A7600">
      <w:r>
        <w:separator/>
      </w:r>
    </w:p>
  </w:endnote>
  <w:endnote w:type="continuationSeparator" w:id="0">
    <w:p w14:paraId="78DE672C" w14:textId="77777777" w:rsidR="004A7600" w:rsidRDefault="004A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33C9" w14:textId="77777777" w:rsidR="003B1A8A" w:rsidRDefault="00DC2845">
    <w:pPr>
      <w:pStyle w:val="af"/>
      <w:framePr w:wrap="around" w:vAnchor="text" w:hAnchor="margin" w:xAlign="center" w:y="1"/>
      <w:rPr>
        <w:rStyle w:val="a6"/>
      </w:rPr>
    </w:pPr>
    <w:r>
      <w:fldChar w:fldCharType="begin"/>
    </w:r>
    <w:r w:rsidR="003B1A8A">
      <w:rPr>
        <w:rStyle w:val="a6"/>
      </w:rPr>
      <w:instrText xml:space="preserve">PAGE  </w:instrText>
    </w:r>
    <w:r>
      <w:fldChar w:fldCharType="end"/>
    </w:r>
  </w:p>
  <w:p w14:paraId="3E947DE9" w14:textId="77777777" w:rsidR="003B1A8A" w:rsidRDefault="003B1A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9B74" w14:textId="77777777" w:rsidR="003B1A8A" w:rsidRDefault="00DC2845">
    <w:pPr>
      <w:pStyle w:val="af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FF496D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55B6" w14:textId="77777777" w:rsidR="00036D24" w:rsidRDefault="00DC2845">
    <w:pPr>
      <w:pStyle w:val="af"/>
      <w:framePr w:wrap="around" w:vAnchor="text" w:hAnchor="margin" w:xAlign="center" w:y="1"/>
      <w:rPr>
        <w:rStyle w:val="a6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6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BD01FA">
      <w:rPr>
        <w:rStyle w:val="a6"/>
        <w:rFonts w:eastAsia="华文中宋"/>
        <w:noProof/>
        <w:sz w:val="28"/>
        <w:szCs w:val="28"/>
      </w:rPr>
      <w:t>5</w:t>
    </w:r>
    <w:r>
      <w:rPr>
        <w:rFonts w:eastAsia="华文中宋"/>
        <w:sz w:val="28"/>
        <w:szCs w:val="28"/>
      </w:rPr>
      <w:fldChar w:fldCharType="end"/>
    </w:r>
  </w:p>
  <w:p w14:paraId="43E1182F" w14:textId="77777777" w:rsidR="00036D24" w:rsidRDefault="00994CE1">
    <w:pPr>
      <w:pStyle w:val="af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E733" w14:textId="77777777" w:rsidR="004A7600" w:rsidRDefault="004A7600">
      <w:r>
        <w:separator/>
      </w:r>
    </w:p>
  </w:footnote>
  <w:footnote w:type="continuationSeparator" w:id="0">
    <w:p w14:paraId="76F507A5" w14:textId="77777777" w:rsidR="004A7600" w:rsidRDefault="004A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F8B6" w14:textId="77777777" w:rsidR="003B1A8A" w:rsidRDefault="003B1A8A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C5CCF"/>
    <w:multiLevelType w:val="singleLevel"/>
    <w:tmpl w:val="871C5CC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774B4E4"/>
    <w:multiLevelType w:val="singleLevel"/>
    <w:tmpl w:val="A774B4E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BAC226C"/>
    <w:multiLevelType w:val="singleLevel"/>
    <w:tmpl w:val="CBAC226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1BE775F"/>
    <w:multiLevelType w:val="singleLevel"/>
    <w:tmpl w:val="D1BE775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D79CED8"/>
    <w:multiLevelType w:val="singleLevel"/>
    <w:tmpl w:val="DD79CE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13DA4DEE"/>
    <w:multiLevelType w:val="hybridMultilevel"/>
    <w:tmpl w:val="11C4CB92"/>
    <w:lvl w:ilvl="0" w:tplc="634838A8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33DC095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19B20EF3"/>
    <w:multiLevelType w:val="singleLevel"/>
    <w:tmpl w:val="19B20EF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26664E00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32998B9F"/>
    <w:multiLevelType w:val="singleLevel"/>
    <w:tmpl w:val="32998B9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35DF63BA"/>
    <w:multiLevelType w:val="hybridMultilevel"/>
    <w:tmpl w:val="45960FD2"/>
    <w:lvl w:ilvl="0" w:tplc="58CCE4AC">
      <w:start w:val="6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E3A92D"/>
    <w:multiLevelType w:val="singleLevel"/>
    <w:tmpl w:val="3CE3A92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40A07EDE"/>
    <w:multiLevelType w:val="hybridMultilevel"/>
    <w:tmpl w:val="2CFAB790"/>
    <w:lvl w:ilvl="0" w:tplc="90F8F81E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4EC09C82"/>
    <w:multiLevelType w:val="singleLevel"/>
    <w:tmpl w:val="4EC09C8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1AA1C6F"/>
    <w:multiLevelType w:val="singleLevel"/>
    <w:tmpl w:val="51AA1C6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057D7"/>
    <w:multiLevelType w:val="hybridMultilevel"/>
    <w:tmpl w:val="B9520CBE"/>
    <w:lvl w:ilvl="0" w:tplc="928EF6F4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 w16cid:durableId="1918593283">
    <w:abstractNumId w:val="11"/>
  </w:num>
  <w:num w:numId="2" w16cid:durableId="335575580">
    <w:abstractNumId w:val="16"/>
  </w:num>
  <w:num w:numId="3" w16cid:durableId="1851136676">
    <w:abstractNumId w:val="0"/>
  </w:num>
  <w:num w:numId="4" w16cid:durableId="1531643792">
    <w:abstractNumId w:val="15"/>
  </w:num>
  <w:num w:numId="5" w16cid:durableId="1003824906">
    <w:abstractNumId w:val="8"/>
  </w:num>
  <w:num w:numId="6" w16cid:durableId="1124739484">
    <w:abstractNumId w:val="2"/>
  </w:num>
  <w:num w:numId="7" w16cid:durableId="934748865">
    <w:abstractNumId w:val="3"/>
  </w:num>
  <w:num w:numId="8" w16cid:durableId="1830057740">
    <w:abstractNumId w:val="4"/>
  </w:num>
  <w:num w:numId="9" w16cid:durableId="1008867754">
    <w:abstractNumId w:val="1"/>
  </w:num>
  <w:num w:numId="10" w16cid:durableId="833110336">
    <w:abstractNumId w:val="12"/>
  </w:num>
  <w:num w:numId="11" w16cid:durableId="1099301248">
    <w:abstractNumId w:val="14"/>
  </w:num>
  <w:num w:numId="12" w16cid:durableId="1778988505">
    <w:abstractNumId w:val="10"/>
  </w:num>
  <w:num w:numId="13" w16cid:durableId="938608997">
    <w:abstractNumId w:val="5"/>
  </w:num>
  <w:num w:numId="14" w16cid:durableId="633103607">
    <w:abstractNumId w:val="6"/>
  </w:num>
  <w:num w:numId="15" w16cid:durableId="1812209298">
    <w:abstractNumId w:val="9"/>
  </w:num>
  <w:num w:numId="16" w16cid:durableId="1185940894">
    <w:abstractNumId w:val="7"/>
  </w:num>
  <w:num w:numId="17" w16cid:durableId="397289649">
    <w:abstractNumId w:val="13"/>
  </w:num>
  <w:num w:numId="18" w16cid:durableId="142980937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2F6E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2D30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766"/>
    <w:rsid w:val="000E1E9A"/>
    <w:rsid w:val="000E235F"/>
    <w:rsid w:val="000E2CBD"/>
    <w:rsid w:val="000E3234"/>
    <w:rsid w:val="000E5742"/>
    <w:rsid w:val="000E5B2E"/>
    <w:rsid w:val="000E7BA3"/>
    <w:rsid w:val="000F1859"/>
    <w:rsid w:val="000F1E14"/>
    <w:rsid w:val="000F247D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566C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55B90"/>
    <w:rsid w:val="00160A10"/>
    <w:rsid w:val="00161CA8"/>
    <w:rsid w:val="00161E41"/>
    <w:rsid w:val="00162A82"/>
    <w:rsid w:val="0016381E"/>
    <w:rsid w:val="00163B43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97C30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3D38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306"/>
    <w:rsid w:val="001E1BD3"/>
    <w:rsid w:val="001E1F95"/>
    <w:rsid w:val="001E2FE9"/>
    <w:rsid w:val="001E3954"/>
    <w:rsid w:val="001E5054"/>
    <w:rsid w:val="001E61B7"/>
    <w:rsid w:val="001E71D2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37B8"/>
    <w:rsid w:val="00224AD6"/>
    <w:rsid w:val="0022551B"/>
    <w:rsid w:val="00225EE2"/>
    <w:rsid w:val="00226BF3"/>
    <w:rsid w:val="00227C5B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6D32"/>
    <w:rsid w:val="00297ACE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051D"/>
    <w:rsid w:val="002E2FE1"/>
    <w:rsid w:val="002E7182"/>
    <w:rsid w:val="002E78A0"/>
    <w:rsid w:val="002F07DA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3AE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3921"/>
    <w:rsid w:val="003445AF"/>
    <w:rsid w:val="0034479E"/>
    <w:rsid w:val="00345A75"/>
    <w:rsid w:val="00346F94"/>
    <w:rsid w:val="00347F77"/>
    <w:rsid w:val="00351C4B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B78E3"/>
    <w:rsid w:val="003C0675"/>
    <w:rsid w:val="003C06BD"/>
    <w:rsid w:val="003C0FD4"/>
    <w:rsid w:val="003C1478"/>
    <w:rsid w:val="003C17B3"/>
    <w:rsid w:val="003C3335"/>
    <w:rsid w:val="003C4DE8"/>
    <w:rsid w:val="003C7A37"/>
    <w:rsid w:val="003D1981"/>
    <w:rsid w:val="003D4232"/>
    <w:rsid w:val="003D5CBA"/>
    <w:rsid w:val="003D6F8B"/>
    <w:rsid w:val="003E3869"/>
    <w:rsid w:val="003F03BC"/>
    <w:rsid w:val="003F3AC1"/>
    <w:rsid w:val="003F3C56"/>
    <w:rsid w:val="003F648D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24DA"/>
    <w:rsid w:val="0044357B"/>
    <w:rsid w:val="00443AE5"/>
    <w:rsid w:val="00444CBE"/>
    <w:rsid w:val="004458D6"/>
    <w:rsid w:val="00445C9C"/>
    <w:rsid w:val="0044789E"/>
    <w:rsid w:val="00454F07"/>
    <w:rsid w:val="00455754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035"/>
    <w:rsid w:val="004963D4"/>
    <w:rsid w:val="0049735E"/>
    <w:rsid w:val="00497954"/>
    <w:rsid w:val="004A2257"/>
    <w:rsid w:val="004A3A1C"/>
    <w:rsid w:val="004A4F7A"/>
    <w:rsid w:val="004A7600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273D"/>
    <w:rsid w:val="004F3E3B"/>
    <w:rsid w:val="004F4E5B"/>
    <w:rsid w:val="004F5515"/>
    <w:rsid w:val="004F5CF1"/>
    <w:rsid w:val="004F695D"/>
    <w:rsid w:val="004F7422"/>
    <w:rsid w:val="0050135A"/>
    <w:rsid w:val="00501A5A"/>
    <w:rsid w:val="00501C0F"/>
    <w:rsid w:val="005022B9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4E03"/>
    <w:rsid w:val="005166B5"/>
    <w:rsid w:val="00516EB1"/>
    <w:rsid w:val="00517ABA"/>
    <w:rsid w:val="0052169E"/>
    <w:rsid w:val="00522348"/>
    <w:rsid w:val="00523238"/>
    <w:rsid w:val="005253C1"/>
    <w:rsid w:val="00525B22"/>
    <w:rsid w:val="00525E70"/>
    <w:rsid w:val="005302C2"/>
    <w:rsid w:val="0053078D"/>
    <w:rsid w:val="0053154A"/>
    <w:rsid w:val="00531A07"/>
    <w:rsid w:val="00532974"/>
    <w:rsid w:val="00537D8B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33B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18ED"/>
    <w:rsid w:val="005B2B83"/>
    <w:rsid w:val="005B4171"/>
    <w:rsid w:val="005B4990"/>
    <w:rsid w:val="005C1296"/>
    <w:rsid w:val="005C18DC"/>
    <w:rsid w:val="005C22AE"/>
    <w:rsid w:val="005C297A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6E73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6A4C"/>
    <w:rsid w:val="00657780"/>
    <w:rsid w:val="006578AE"/>
    <w:rsid w:val="00661632"/>
    <w:rsid w:val="00663145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87B35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6922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2216"/>
    <w:rsid w:val="007032A5"/>
    <w:rsid w:val="007034B6"/>
    <w:rsid w:val="00704BB4"/>
    <w:rsid w:val="00707A69"/>
    <w:rsid w:val="00710157"/>
    <w:rsid w:val="00710851"/>
    <w:rsid w:val="00710C3A"/>
    <w:rsid w:val="00710F8B"/>
    <w:rsid w:val="0071403D"/>
    <w:rsid w:val="00715EB2"/>
    <w:rsid w:val="0071796C"/>
    <w:rsid w:val="00720FD9"/>
    <w:rsid w:val="007228A6"/>
    <w:rsid w:val="00723D48"/>
    <w:rsid w:val="0072423D"/>
    <w:rsid w:val="007244D8"/>
    <w:rsid w:val="00724692"/>
    <w:rsid w:val="00724A16"/>
    <w:rsid w:val="00724E08"/>
    <w:rsid w:val="00725B0E"/>
    <w:rsid w:val="00727327"/>
    <w:rsid w:val="00727AE2"/>
    <w:rsid w:val="007308A9"/>
    <w:rsid w:val="00730C42"/>
    <w:rsid w:val="00730C52"/>
    <w:rsid w:val="007321E7"/>
    <w:rsid w:val="007321F4"/>
    <w:rsid w:val="00732988"/>
    <w:rsid w:val="00732F75"/>
    <w:rsid w:val="007337D5"/>
    <w:rsid w:val="00734357"/>
    <w:rsid w:val="0073497D"/>
    <w:rsid w:val="0073652C"/>
    <w:rsid w:val="007373A1"/>
    <w:rsid w:val="00737A75"/>
    <w:rsid w:val="00740482"/>
    <w:rsid w:val="00742993"/>
    <w:rsid w:val="00743C62"/>
    <w:rsid w:val="0074453B"/>
    <w:rsid w:val="007466EA"/>
    <w:rsid w:val="00751927"/>
    <w:rsid w:val="007540D3"/>
    <w:rsid w:val="00756426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67D5E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103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235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24FF"/>
    <w:rsid w:val="00813FF7"/>
    <w:rsid w:val="00814602"/>
    <w:rsid w:val="008152BD"/>
    <w:rsid w:val="008152ED"/>
    <w:rsid w:val="00815C5A"/>
    <w:rsid w:val="008176F1"/>
    <w:rsid w:val="0082052A"/>
    <w:rsid w:val="0082073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54D8F"/>
    <w:rsid w:val="00855409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763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0520"/>
    <w:rsid w:val="008D2421"/>
    <w:rsid w:val="008D26FC"/>
    <w:rsid w:val="008D45F3"/>
    <w:rsid w:val="008D49DE"/>
    <w:rsid w:val="008D7AEC"/>
    <w:rsid w:val="008D7E6B"/>
    <w:rsid w:val="008E1C85"/>
    <w:rsid w:val="008E2C66"/>
    <w:rsid w:val="008E5739"/>
    <w:rsid w:val="008E792E"/>
    <w:rsid w:val="008F0276"/>
    <w:rsid w:val="008F03E7"/>
    <w:rsid w:val="008F0F27"/>
    <w:rsid w:val="008F12AF"/>
    <w:rsid w:val="008F2F7B"/>
    <w:rsid w:val="008F343D"/>
    <w:rsid w:val="008F34F4"/>
    <w:rsid w:val="008F455D"/>
    <w:rsid w:val="008F7986"/>
    <w:rsid w:val="0090136C"/>
    <w:rsid w:val="009022EB"/>
    <w:rsid w:val="00902514"/>
    <w:rsid w:val="00904CF5"/>
    <w:rsid w:val="00904D05"/>
    <w:rsid w:val="0091414C"/>
    <w:rsid w:val="00914F8B"/>
    <w:rsid w:val="00916E11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4BE2"/>
    <w:rsid w:val="0092576C"/>
    <w:rsid w:val="00930219"/>
    <w:rsid w:val="00930C48"/>
    <w:rsid w:val="009317D9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6053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0B1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7C3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02FB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349A"/>
    <w:rsid w:val="00A3752D"/>
    <w:rsid w:val="00A4172E"/>
    <w:rsid w:val="00A4549D"/>
    <w:rsid w:val="00A47EA2"/>
    <w:rsid w:val="00A507D2"/>
    <w:rsid w:val="00A53E86"/>
    <w:rsid w:val="00A55BDB"/>
    <w:rsid w:val="00A572CF"/>
    <w:rsid w:val="00A57AF3"/>
    <w:rsid w:val="00A61FC4"/>
    <w:rsid w:val="00A62196"/>
    <w:rsid w:val="00A630DB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5AF9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576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44CC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56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01E9"/>
    <w:rsid w:val="00B73D35"/>
    <w:rsid w:val="00B73EF1"/>
    <w:rsid w:val="00B752DC"/>
    <w:rsid w:val="00B75F51"/>
    <w:rsid w:val="00B7642A"/>
    <w:rsid w:val="00B766F5"/>
    <w:rsid w:val="00B7712C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1FA"/>
    <w:rsid w:val="00BD030D"/>
    <w:rsid w:val="00BD11C8"/>
    <w:rsid w:val="00BD16D1"/>
    <w:rsid w:val="00BD4651"/>
    <w:rsid w:val="00BD5780"/>
    <w:rsid w:val="00BD642E"/>
    <w:rsid w:val="00BE0FA8"/>
    <w:rsid w:val="00BE11F8"/>
    <w:rsid w:val="00BE1EA5"/>
    <w:rsid w:val="00BE2684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0E96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150"/>
    <w:rsid w:val="00C60986"/>
    <w:rsid w:val="00C610A9"/>
    <w:rsid w:val="00C61639"/>
    <w:rsid w:val="00C617AE"/>
    <w:rsid w:val="00C61899"/>
    <w:rsid w:val="00C619D2"/>
    <w:rsid w:val="00C6279C"/>
    <w:rsid w:val="00C62FE3"/>
    <w:rsid w:val="00C630BF"/>
    <w:rsid w:val="00C6353D"/>
    <w:rsid w:val="00C63898"/>
    <w:rsid w:val="00C64E41"/>
    <w:rsid w:val="00C67324"/>
    <w:rsid w:val="00C73B17"/>
    <w:rsid w:val="00C74059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018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1D7"/>
    <w:rsid w:val="00CB0AE9"/>
    <w:rsid w:val="00CB1FEA"/>
    <w:rsid w:val="00CB2920"/>
    <w:rsid w:val="00CC0FE6"/>
    <w:rsid w:val="00CC1B9D"/>
    <w:rsid w:val="00CC20DD"/>
    <w:rsid w:val="00CC31CB"/>
    <w:rsid w:val="00CC47CF"/>
    <w:rsid w:val="00CD118B"/>
    <w:rsid w:val="00CD2EF9"/>
    <w:rsid w:val="00CD30CF"/>
    <w:rsid w:val="00CD3A82"/>
    <w:rsid w:val="00CD3FAA"/>
    <w:rsid w:val="00CD4051"/>
    <w:rsid w:val="00CD483B"/>
    <w:rsid w:val="00CD58F3"/>
    <w:rsid w:val="00CD6CEC"/>
    <w:rsid w:val="00CE0764"/>
    <w:rsid w:val="00CE194B"/>
    <w:rsid w:val="00CE1B4C"/>
    <w:rsid w:val="00CE1CE3"/>
    <w:rsid w:val="00CE2A3C"/>
    <w:rsid w:val="00CE3345"/>
    <w:rsid w:val="00CE3E3F"/>
    <w:rsid w:val="00CE46E3"/>
    <w:rsid w:val="00CE4B88"/>
    <w:rsid w:val="00CE4BD1"/>
    <w:rsid w:val="00CE5BF2"/>
    <w:rsid w:val="00CE658C"/>
    <w:rsid w:val="00CE78FB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5CEB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0FB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20AA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BE"/>
    <w:rsid w:val="00DA28FE"/>
    <w:rsid w:val="00DA4627"/>
    <w:rsid w:val="00DA58B8"/>
    <w:rsid w:val="00DA5EE9"/>
    <w:rsid w:val="00DA6142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2845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D7ABE"/>
    <w:rsid w:val="00DE150B"/>
    <w:rsid w:val="00DE1D54"/>
    <w:rsid w:val="00DE246B"/>
    <w:rsid w:val="00DE35B5"/>
    <w:rsid w:val="00DE456C"/>
    <w:rsid w:val="00DE5811"/>
    <w:rsid w:val="00DE6A37"/>
    <w:rsid w:val="00DF160A"/>
    <w:rsid w:val="00DF21CB"/>
    <w:rsid w:val="00DF243C"/>
    <w:rsid w:val="00DF316C"/>
    <w:rsid w:val="00DF60A4"/>
    <w:rsid w:val="00E005DB"/>
    <w:rsid w:val="00E01CF5"/>
    <w:rsid w:val="00E0204F"/>
    <w:rsid w:val="00E02259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2723A"/>
    <w:rsid w:val="00E301A2"/>
    <w:rsid w:val="00E30263"/>
    <w:rsid w:val="00E30E46"/>
    <w:rsid w:val="00E31816"/>
    <w:rsid w:val="00E339E8"/>
    <w:rsid w:val="00E345B0"/>
    <w:rsid w:val="00E35D48"/>
    <w:rsid w:val="00E35DFC"/>
    <w:rsid w:val="00E447D2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62E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97799"/>
    <w:rsid w:val="00EA0678"/>
    <w:rsid w:val="00EA0C59"/>
    <w:rsid w:val="00EA1778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3B52"/>
    <w:rsid w:val="00ED43F7"/>
    <w:rsid w:val="00ED5892"/>
    <w:rsid w:val="00ED5CED"/>
    <w:rsid w:val="00ED7AAF"/>
    <w:rsid w:val="00EE2797"/>
    <w:rsid w:val="00EE3519"/>
    <w:rsid w:val="00EE368D"/>
    <w:rsid w:val="00EE377F"/>
    <w:rsid w:val="00EE3CBE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382D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2817"/>
    <w:rsid w:val="00F63FBB"/>
    <w:rsid w:val="00F64BFC"/>
    <w:rsid w:val="00F65F9E"/>
    <w:rsid w:val="00F66793"/>
    <w:rsid w:val="00F66EDC"/>
    <w:rsid w:val="00F679AA"/>
    <w:rsid w:val="00F70A63"/>
    <w:rsid w:val="00F70ED3"/>
    <w:rsid w:val="00F758F6"/>
    <w:rsid w:val="00F7714E"/>
    <w:rsid w:val="00F771C8"/>
    <w:rsid w:val="00F806CB"/>
    <w:rsid w:val="00F80EEF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031"/>
    <w:rsid w:val="00FB4AD7"/>
    <w:rsid w:val="00FB4B71"/>
    <w:rsid w:val="00FB5333"/>
    <w:rsid w:val="00FB56AA"/>
    <w:rsid w:val="00FB699B"/>
    <w:rsid w:val="00FC16DA"/>
    <w:rsid w:val="00FC4AD7"/>
    <w:rsid w:val="00FC52BD"/>
    <w:rsid w:val="00FC62C0"/>
    <w:rsid w:val="00FC6641"/>
    <w:rsid w:val="00FC7569"/>
    <w:rsid w:val="00FD113F"/>
    <w:rsid w:val="00FD2DF7"/>
    <w:rsid w:val="00FD73AD"/>
    <w:rsid w:val="00FE0AF5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496D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A4D761C"/>
  <w15:docId w15:val="{CA7BF93F-B235-4623-AE59-2B7B39D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5A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a4">
    <w:name w:val="批注文字 字符"/>
    <w:link w:val="a5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6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7">
    <w:name w:val="Emphasis"/>
    <w:qFormat/>
    <w:rsid w:val="00994FB0"/>
    <w:rPr>
      <w:i/>
    </w:rPr>
  </w:style>
  <w:style w:type="character" w:customStyle="1" w:styleId="a8">
    <w:name w:val="页眉 字符"/>
    <w:link w:val="a9"/>
    <w:qFormat/>
    <w:rsid w:val="00994FB0"/>
    <w:rPr>
      <w:kern w:val="2"/>
      <w:sz w:val="18"/>
      <w:szCs w:val="18"/>
    </w:rPr>
  </w:style>
  <w:style w:type="character" w:styleId="aa">
    <w:name w:val="annotation reference"/>
    <w:semiHidden/>
    <w:rsid w:val="00994FB0"/>
    <w:rPr>
      <w:rFonts w:cs="Times New Roman"/>
      <w:sz w:val="21"/>
      <w:szCs w:val="21"/>
    </w:rPr>
  </w:style>
  <w:style w:type="character" w:styleId="ab">
    <w:name w:val="Hyperlink"/>
    <w:rsid w:val="00994FB0"/>
    <w:rPr>
      <w:color w:val="0000FF"/>
      <w:u w:val="single"/>
    </w:rPr>
  </w:style>
  <w:style w:type="paragraph" w:styleId="ac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Body Text"/>
    <w:basedOn w:val="a"/>
    <w:rsid w:val="00994FB0"/>
    <w:pPr>
      <w:spacing w:after="120"/>
    </w:pPr>
  </w:style>
  <w:style w:type="paragraph" w:styleId="ae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9">
    <w:name w:val="header"/>
    <w:basedOn w:val="a"/>
    <w:link w:val="a8"/>
    <w:qFormat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"/>
    <w:link w:val="af0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Balloon Text"/>
    <w:basedOn w:val="a"/>
    <w:semiHidden/>
    <w:rsid w:val="00994FB0"/>
    <w:rPr>
      <w:sz w:val="18"/>
      <w:szCs w:val="18"/>
    </w:rPr>
  </w:style>
  <w:style w:type="paragraph" w:styleId="af2">
    <w:name w:val="Date"/>
    <w:basedOn w:val="a"/>
    <w:next w:val="a"/>
    <w:rsid w:val="00994FB0"/>
    <w:pPr>
      <w:ind w:leftChars="2500" w:left="100"/>
    </w:pPr>
  </w:style>
  <w:style w:type="paragraph" w:styleId="a5">
    <w:name w:val="annotation text"/>
    <w:basedOn w:val="a"/>
    <w:link w:val="a4"/>
    <w:semiHidden/>
    <w:rsid w:val="00994FB0"/>
    <w:pPr>
      <w:jc w:val="left"/>
    </w:pPr>
  </w:style>
  <w:style w:type="paragraph" w:customStyle="1" w:styleId="Char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3">
    <w:name w:val="List Paragraph"/>
    <w:basedOn w:val="a"/>
    <w:link w:val="af4"/>
    <w:uiPriority w:val="34"/>
    <w:qFormat/>
    <w:rsid w:val="00994FB0"/>
    <w:pPr>
      <w:ind w:firstLineChars="200" w:firstLine="420"/>
    </w:pPr>
    <w:rPr>
      <w:szCs w:val="22"/>
    </w:rPr>
  </w:style>
  <w:style w:type="table" w:styleId="af5">
    <w:name w:val="Table Grid"/>
    <w:basedOn w:val="a1"/>
    <w:rsid w:val="00994F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列表段落 字符"/>
    <w:link w:val="af3"/>
    <w:uiPriority w:val="34"/>
    <w:qFormat/>
    <w:rsid w:val="004F273D"/>
    <w:rPr>
      <w:kern w:val="2"/>
      <w:sz w:val="21"/>
      <w:szCs w:val="22"/>
    </w:rPr>
  </w:style>
  <w:style w:type="character" w:customStyle="1" w:styleId="af0">
    <w:name w:val="页脚 字符"/>
    <w:basedOn w:val="a0"/>
    <w:link w:val="af"/>
    <w:rsid w:val="00A85AF9"/>
    <w:rPr>
      <w:kern w:val="2"/>
      <w:sz w:val="18"/>
      <w:szCs w:val="18"/>
    </w:rPr>
  </w:style>
  <w:style w:type="paragraph" w:styleId="af6">
    <w:name w:val="Title"/>
    <w:basedOn w:val="a"/>
    <w:next w:val="a"/>
    <w:link w:val="af7"/>
    <w:qFormat/>
    <w:rsid w:val="00A85AF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rsid w:val="00A85AF9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A85AF9"/>
    <w:rPr>
      <w:b/>
      <w:bCs/>
      <w:kern w:val="44"/>
      <w:sz w:val="44"/>
      <w:szCs w:val="44"/>
    </w:rPr>
  </w:style>
  <w:style w:type="paragraph" w:styleId="af8">
    <w:name w:val="Subtitle"/>
    <w:basedOn w:val="a"/>
    <w:next w:val="a"/>
    <w:link w:val="af9"/>
    <w:qFormat/>
    <w:rsid w:val="00A85AF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A85AF9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a">
    <w:name w:val="No Spacing"/>
    <w:uiPriority w:val="1"/>
    <w:qFormat/>
    <w:rsid w:val="00A85AF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551</Words>
  <Characters>3143</Characters>
  <Application>Microsoft Office Word</Application>
  <DocSecurity>0</DocSecurity>
  <Lines>26</Lines>
  <Paragraphs>7</Paragraphs>
  <ScaleCrop>false</ScaleCrop>
  <Company>kzy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李启</cp:lastModifiedBy>
  <cp:revision>21</cp:revision>
  <cp:lastPrinted>2019-09-19T03:42:00Z</cp:lastPrinted>
  <dcterms:created xsi:type="dcterms:W3CDTF">2022-07-14T01:41:00Z</dcterms:created>
  <dcterms:modified xsi:type="dcterms:W3CDTF">2023-01-30T09:59:00Z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