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99AE" w14:textId="77777777" w:rsidR="00CA702B" w:rsidRDefault="00000000">
      <w:pPr>
        <w:adjustRightInd w:val="0"/>
        <w:snapToGrid w:val="0"/>
        <w:jc w:val="distribute"/>
        <w:rPr>
          <w:rFonts w:ascii="仿宋" w:eastAsia="仿宋" w:hAnsi="仿宋" w:cs="仿宋"/>
          <w:color w:val="000000" w:themeColor="text1"/>
          <w:spacing w:val="-12"/>
          <w:sz w:val="28"/>
          <w:szCs w:val="28"/>
        </w:rPr>
      </w:pPr>
      <w:r>
        <w:rPr>
          <w:rFonts w:asciiTheme="majorEastAsia" w:eastAsiaTheme="majorEastAsia" w:hAnsiTheme="majorEastAsia" w:cstheme="majorEastAsia" w:hint="eastAsia"/>
          <w:b/>
          <w:bCs/>
          <w:color w:val="FF0000"/>
          <w:w w:val="80"/>
          <w:sz w:val="84"/>
          <w:szCs w:val="84"/>
        </w:rPr>
        <w:t>中国国际工程咨询协会</w:t>
      </w:r>
    </w:p>
    <w:p w14:paraId="50E27E74" w14:textId="77777777" w:rsidR="00CA702B" w:rsidRDefault="00000000">
      <w:pPr>
        <w:jc w:val="center"/>
        <w:rPr>
          <w:rFonts w:ascii="仿宋" w:eastAsia="仿宋" w:hAnsi="仿宋" w:cs="仿宋"/>
          <w:color w:val="000000" w:themeColor="text1"/>
          <w:sz w:val="32"/>
          <w:szCs w:val="32"/>
        </w:rPr>
      </w:pPr>
      <w:r>
        <w:rPr>
          <w:rFonts w:ascii="仿宋" w:eastAsia="仿宋" w:hAnsi="仿宋" w:cs="仿宋" w:hint="eastAsia"/>
          <w:noProof/>
          <w:color w:val="000000" w:themeColor="text1"/>
          <w:sz w:val="32"/>
          <w:szCs w:val="32"/>
        </w:rPr>
        <mc:AlternateContent>
          <mc:Choice Requires="wps">
            <w:drawing>
              <wp:anchor distT="0" distB="0" distL="114300" distR="114300" simplePos="0" relativeHeight="251660288" behindDoc="0" locked="0" layoutInCell="1" allowOverlap="1" wp14:anchorId="4EBD75C6" wp14:editId="555C144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22C6ABE9" id="直接连接符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5pt,5.65pt" to="442.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" strokecolor="red" strokeweight="2.25pt"/>
            </w:pict>
          </mc:Fallback>
        </mc:AlternateContent>
      </w:r>
    </w:p>
    <w:p w14:paraId="1C1A049B" w14:textId="77777777" w:rsidR="00CA702B" w:rsidRDefault="00000000">
      <w:pPr>
        <w:pStyle w:val="1"/>
        <w:widowControl/>
        <w:spacing w:beforeAutospacing="0" w:afterAutospacing="0"/>
        <w:jc w:val="center"/>
        <w:rPr>
          <w:rFonts w:ascii="华文中宋" w:eastAsia="华文中宋" w:hAnsi="华文中宋" w:cs="华文中宋" w:hint="default"/>
          <w:color w:val="000000" w:themeColor="text1"/>
          <w:kern w:val="0"/>
          <w:sz w:val="32"/>
          <w:szCs w:val="32"/>
          <w:shd w:val="clear" w:color="000000" w:fill="auto"/>
        </w:rPr>
      </w:pPr>
      <w:r>
        <w:rPr>
          <w:rFonts w:ascii="华文中宋" w:eastAsia="华文中宋" w:hAnsi="华文中宋" w:cs="华文中宋"/>
          <w:color w:val="000000" w:themeColor="text1"/>
          <w:kern w:val="0"/>
          <w:sz w:val="32"/>
          <w:szCs w:val="32"/>
          <w:shd w:val="clear" w:color="000000" w:fill="auto"/>
        </w:rPr>
        <w:t>关于举办建设项目全过程造价管控与结算审计实务操作专题</w:t>
      </w:r>
    </w:p>
    <w:p w14:paraId="2D2F6755" w14:textId="77777777" w:rsidR="00CA702B" w:rsidRDefault="00000000">
      <w:pPr>
        <w:pStyle w:val="1"/>
        <w:widowControl/>
        <w:spacing w:beforeAutospacing="0" w:afterAutospacing="0"/>
        <w:jc w:val="center"/>
        <w:rPr>
          <w:rFonts w:ascii="仿宋" w:eastAsia="仿宋" w:hAnsi="仿宋" w:cs="仿宋" w:hint="default"/>
          <w:color w:val="000000" w:themeColor="text1"/>
          <w:sz w:val="30"/>
          <w:szCs w:val="30"/>
        </w:rPr>
      </w:pPr>
      <w:r>
        <w:rPr>
          <w:rFonts w:ascii="华文中宋" w:eastAsia="华文中宋" w:hAnsi="华文中宋" w:cs="华文中宋"/>
          <w:color w:val="000000" w:themeColor="text1"/>
          <w:kern w:val="0"/>
          <w:sz w:val="32"/>
          <w:szCs w:val="32"/>
          <w:shd w:val="clear" w:color="000000" w:fill="auto"/>
        </w:rPr>
        <w:t>培训班的通知</w:t>
      </w:r>
    </w:p>
    <w:p w14:paraId="0E9BE420" w14:textId="77777777" w:rsidR="00CA702B" w:rsidRDefault="00000000">
      <w:pPr>
        <w:pStyle w:val="20"/>
        <w:ind w:firstLineChars="2100" w:firstLine="5399"/>
        <w:rPr>
          <w:rFonts w:hAnsi="仿宋" w:cs="仿宋" w:hint="default"/>
          <w:b/>
          <w:bCs/>
          <w:color w:val="000000" w:themeColor="text1"/>
        </w:rPr>
      </w:pPr>
      <w:r>
        <w:rPr>
          <w:rFonts w:ascii="宋体" w:eastAsia="宋体" w:hAnsi="宋体" w:cs="宋体"/>
          <w:b/>
          <w:bCs/>
          <w:color w:val="000000" w:themeColor="text1"/>
          <w:spacing w:val="-12"/>
          <w:sz w:val="28"/>
          <w:szCs w:val="28"/>
        </w:rPr>
        <w:t>国</w:t>
      </w:r>
      <w:proofErr w:type="gramStart"/>
      <w:r>
        <w:rPr>
          <w:rFonts w:ascii="宋体" w:eastAsia="宋体" w:hAnsi="宋体" w:cs="宋体"/>
          <w:b/>
          <w:bCs/>
          <w:color w:val="000000" w:themeColor="text1"/>
          <w:spacing w:val="-12"/>
          <w:sz w:val="28"/>
          <w:szCs w:val="28"/>
        </w:rPr>
        <w:t>咨</w:t>
      </w:r>
      <w:proofErr w:type="gramEnd"/>
      <w:r>
        <w:rPr>
          <w:rFonts w:ascii="宋体" w:eastAsia="宋体" w:hAnsi="宋体" w:cs="宋体"/>
          <w:b/>
          <w:bCs/>
          <w:color w:val="000000" w:themeColor="text1"/>
          <w:spacing w:val="-12"/>
          <w:sz w:val="28"/>
          <w:szCs w:val="28"/>
        </w:rPr>
        <w:t>协［2024］ 081号</w:t>
      </w:r>
    </w:p>
    <w:p w14:paraId="0D8B549A" w14:textId="77777777" w:rsidR="00CA702B" w:rsidRDefault="00000000">
      <w:pPr>
        <w:widowControl/>
        <w:rPr>
          <w:rFonts w:ascii="仿宋" w:eastAsia="仿宋" w:hAnsi="仿宋" w:cs="仿宋"/>
          <w:b/>
          <w:kern w:val="0"/>
          <w:sz w:val="28"/>
          <w:szCs w:val="28"/>
        </w:rPr>
      </w:pPr>
      <w:r>
        <w:rPr>
          <w:rFonts w:ascii="仿宋" w:eastAsia="仿宋" w:hAnsi="仿宋" w:cs="仿宋" w:hint="eastAsia"/>
          <w:b/>
          <w:kern w:val="0"/>
          <w:sz w:val="28"/>
          <w:szCs w:val="28"/>
        </w:rPr>
        <w:t>各有关单位：</w:t>
      </w:r>
    </w:p>
    <w:p w14:paraId="35395B88" w14:textId="77777777" w:rsidR="00CA702B" w:rsidRDefault="00000000">
      <w:pPr>
        <w:pStyle w:val="a8"/>
        <w:widowControl/>
        <w:shd w:val="clear" w:color="auto" w:fill="FFFFFF"/>
        <w:spacing w:before="0" w:beforeAutospacing="0" w:after="0" w:afterAutospacing="0" w:line="500" w:lineRule="exact"/>
        <w:ind w:firstLine="560"/>
        <w:rPr>
          <w:rFonts w:ascii="仿宋" w:eastAsia="仿宋" w:hAnsi="仿宋" w:cs="宋体"/>
          <w:sz w:val="28"/>
          <w:szCs w:val="28"/>
        </w:rPr>
      </w:pPr>
      <w:r>
        <w:rPr>
          <w:rFonts w:ascii="仿宋" w:eastAsia="仿宋" w:hAnsi="仿宋" w:cs="宋体" w:hint="eastAsia"/>
          <w:sz w:val="28"/>
          <w:szCs w:val="28"/>
        </w:rPr>
        <w:t>工程造价一直是建筑市场博弈的焦点，工程造价管控、计价分歧、施工合同纠纷、工程价款调整与结算审计疑难问题越来越引起各市场主体的高度重视。对于建设项目各参与方来说，若想实现预期效益目标，就必须不断强化工程建设的造价控制与过程管理。</w:t>
      </w:r>
    </w:p>
    <w:p w14:paraId="74794419" w14:textId="77777777" w:rsidR="00CA702B" w:rsidRDefault="00000000">
      <w:pPr>
        <w:pStyle w:val="1"/>
        <w:widowControl/>
        <w:spacing w:beforeAutospacing="0" w:afterAutospacing="0" w:line="500" w:lineRule="exact"/>
        <w:ind w:firstLineChars="200" w:firstLine="560"/>
        <w:rPr>
          <w:rFonts w:ascii="仿宋" w:eastAsia="仿宋" w:hAnsi="仿宋" w:cs="宋体" w:hint="default"/>
          <w:b w:val="0"/>
          <w:bCs w:val="0"/>
          <w:kern w:val="0"/>
          <w:sz w:val="28"/>
          <w:szCs w:val="28"/>
        </w:rPr>
      </w:pPr>
      <w:r>
        <w:rPr>
          <w:rFonts w:ascii="仿宋" w:eastAsia="仿宋" w:hAnsi="仿宋" w:cs="宋体"/>
          <w:b w:val="0"/>
          <w:bCs w:val="0"/>
          <w:kern w:val="0"/>
          <w:sz w:val="28"/>
          <w:szCs w:val="28"/>
        </w:rPr>
        <w:t>当前，工程造价与结算审计问题在建筑市场中变得愈发突出。工程设计变更、人工材料涨价、计价纠纷、结算纠纷、工程款纠纷等各类造价问题严重困扰着各参建方，对于如何在造价层面进行有效防范，避免不必要的损失，以及在纠纷发生后如何进行有效处理，工程造价的新动态以及建设工程施工合同纠纷中计价与结算的热点与难点问题，都是在工程实践中亟需掌握的重要内容。</w:t>
      </w:r>
    </w:p>
    <w:p w14:paraId="6B366F29" w14:textId="77777777" w:rsidR="00CA702B" w:rsidRDefault="00000000">
      <w:pPr>
        <w:pStyle w:val="1"/>
        <w:widowControl/>
        <w:spacing w:beforeAutospacing="0" w:afterAutospacing="0" w:line="500" w:lineRule="exact"/>
        <w:ind w:firstLineChars="200" w:firstLine="560"/>
        <w:rPr>
          <w:rFonts w:ascii="仿宋" w:eastAsia="仿宋" w:hAnsi="仿宋" w:cs="宋体" w:hint="default"/>
          <w:b w:val="0"/>
          <w:bCs w:val="0"/>
          <w:kern w:val="0"/>
          <w:sz w:val="28"/>
          <w:szCs w:val="28"/>
        </w:rPr>
      </w:pPr>
      <w:r>
        <w:rPr>
          <w:rFonts w:ascii="仿宋" w:eastAsia="仿宋" w:hAnsi="仿宋" w:cs="宋体"/>
          <w:b w:val="0"/>
          <w:bCs w:val="0"/>
          <w:kern w:val="0"/>
          <w:sz w:val="28"/>
          <w:szCs w:val="28"/>
        </w:rPr>
        <w:t>为帮助有关单位全面掌握工程造价全过程精细化控制的根本之道，掌</w:t>
      </w:r>
      <w:proofErr w:type="gramStart"/>
      <w:r>
        <w:rPr>
          <w:rFonts w:ascii="仿宋" w:eastAsia="仿宋" w:hAnsi="仿宋" w:cs="宋体"/>
          <w:b w:val="0"/>
          <w:bCs w:val="0"/>
          <w:kern w:val="0"/>
          <w:sz w:val="28"/>
          <w:szCs w:val="28"/>
        </w:rPr>
        <w:t>握新形势</w:t>
      </w:r>
      <w:proofErr w:type="gramEnd"/>
      <w:r>
        <w:rPr>
          <w:rFonts w:ascii="仿宋" w:eastAsia="仿宋" w:hAnsi="仿宋" w:cs="宋体"/>
          <w:b w:val="0"/>
          <w:bCs w:val="0"/>
          <w:kern w:val="0"/>
          <w:sz w:val="28"/>
          <w:szCs w:val="28"/>
        </w:rPr>
        <w:t>下工程计价、计量、造价管控、合同管理、结算与审计等新技能，解决建筑工程领域的结算难题，切实提高建设项目工程造价控制水平，我会决定举办“建设项目全过程造价管控与结算审计实务操作专题培训班”。本次培训班由中国国际工程咨询协会主办， 北京比时教育咨询有限公司具体承办，请各单位积极组织相关人员参加。</w:t>
      </w:r>
    </w:p>
    <w:p w14:paraId="2253704E" w14:textId="77777777" w:rsidR="00CA702B" w:rsidRDefault="00000000">
      <w:pPr>
        <w:spacing w:line="400" w:lineRule="exact"/>
        <w:rPr>
          <w:rFonts w:ascii="仿宋" w:eastAsia="仿宋" w:hAnsi="仿宋" w:cs="宋体"/>
          <w:b/>
          <w:bCs/>
          <w:kern w:val="0"/>
          <w:sz w:val="28"/>
          <w:szCs w:val="28"/>
        </w:rPr>
      </w:pPr>
      <w:r>
        <w:rPr>
          <w:rFonts w:ascii="仿宋" w:eastAsia="仿宋" w:hAnsi="仿宋" w:cs="宋体" w:hint="eastAsia"/>
          <w:b/>
          <w:bCs/>
          <w:kern w:val="0"/>
          <w:sz w:val="28"/>
          <w:szCs w:val="28"/>
        </w:rPr>
        <w:t>一、培训内容</w:t>
      </w:r>
    </w:p>
    <w:p w14:paraId="76083647" w14:textId="77777777" w:rsidR="00CA702B" w:rsidRDefault="00000000">
      <w:pPr>
        <w:spacing w:line="400" w:lineRule="exact"/>
        <w:rPr>
          <w:rFonts w:ascii="仿宋" w:eastAsia="仿宋" w:hAnsi="仿宋" w:cs="宋体"/>
          <w:kern w:val="0"/>
          <w:sz w:val="28"/>
          <w:szCs w:val="28"/>
        </w:rPr>
      </w:pPr>
      <w:r>
        <w:rPr>
          <w:rFonts w:ascii="仿宋" w:eastAsia="仿宋" w:hAnsi="仿宋" w:cs="宋体" w:hint="eastAsia"/>
          <w:b/>
          <w:bCs/>
          <w:kern w:val="0"/>
          <w:sz w:val="28"/>
          <w:szCs w:val="28"/>
        </w:rPr>
        <w:t>（一）解读《建设工程工程量清单计价标准》（23年意见稿）</w:t>
      </w:r>
    </w:p>
    <w:p w14:paraId="341728BF" w14:textId="77777777" w:rsidR="00CA702B" w:rsidRDefault="00000000">
      <w:pPr>
        <w:spacing w:line="400" w:lineRule="exact"/>
        <w:rPr>
          <w:rFonts w:ascii="仿宋" w:eastAsia="仿宋" w:hAnsi="仿宋" w:cs="宋体"/>
          <w:kern w:val="0"/>
          <w:sz w:val="28"/>
          <w:szCs w:val="28"/>
        </w:rPr>
      </w:pPr>
      <w:r>
        <w:rPr>
          <w:rFonts w:ascii="仿宋" w:eastAsia="仿宋" w:hAnsi="仿宋" w:cs="宋体" w:hint="eastAsia"/>
          <w:kern w:val="0"/>
          <w:sz w:val="28"/>
          <w:szCs w:val="28"/>
        </w:rPr>
        <w:t>1.新版《建设工程工程量清单计价标准》(意见稿)修订的主要内容</w:t>
      </w:r>
    </w:p>
    <w:p w14:paraId="7782F10A" w14:textId="77777777" w:rsidR="00CA702B" w:rsidRDefault="00000000">
      <w:pPr>
        <w:spacing w:line="400" w:lineRule="exact"/>
        <w:rPr>
          <w:rFonts w:ascii="仿宋" w:eastAsia="仿宋" w:hAnsi="仿宋" w:cs="宋体"/>
          <w:kern w:val="0"/>
          <w:sz w:val="28"/>
          <w:szCs w:val="28"/>
        </w:rPr>
      </w:pPr>
      <w:r>
        <w:rPr>
          <w:rFonts w:ascii="仿宋" w:eastAsia="仿宋" w:hAnsi="仿宋" w:cs="宋体" w:hint="eastAsia"/>
          <w:kern w:val="0"/>
          <w:sz w:val="28"/>
          <w:szCs w:val="28"/>
        </w:rPr>
        <w:t>2.新版《建设工程工程量清单计价标准》(意见稿)修订的亮点解析</w:t>
      </w:r>
    </w:p>
    <w:p w14:paraId="7565FBAC" w14:textId="77777777" w:rsidR="00CA702B" w:rsidRDefault="00000000">
      <w:pPr>
        <w:spacing w:line="400" w:lineRule="exact"/>
        <w:rPr>
          <w:rFonts w:ascii="仿宋" w:eastAsia="仿宋" w:hAnsi="仿宋" w:cs="宋体"/>
          <w:b/>
          <w:bCs/>
          <w:sz w:val="28"/>
          <w:szCs w:val="28"/>
        </w:rPr>
      </w:pPr>
      <w:r>
        <w:rPr>
          <w:rFonts w:ascii="仿宋" w:eastAsia="仿宋" w:hAnsi="仿宋" w:cs="宋体" w:hint="eastAsia"/>
          <w:b/>
          <w:bCs/>
          <w:sz w:val="28"/>
          <w:szCs w:val="28"/>
        </w:rPr>
        <w:lastRenderedPageBreak/>
        <w:t>（二）建设项目招投标造价问题</w:t>
      </w:r>
    </w:p>
    <w:p w14:paraId="6474FD2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1.是否合理将不平衡报价部分重新调整计入？</w:t>
      </w:r>
    </w:p>
    <w:p w14:paraId="7721A5C0"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2.是否合理要求</w:t>
      </w:r>
      <w:proofErr w:type="gramStart"/>
      <w:r>
        <w:rPr>
          <w:rFonts w:ascii="仿宋" w:eastAsia="仿宋" w:hAnsi="仿宋" w:cs="宋体" w:hint="eastAsia"/>
          <w:sz w:val="28"/>
          <w:szCs w:val="28"/>
        </w:rPr>
        <w:t>重新组价基于</w:t>
      </w:r>
      <w:proofErr w:type="gramEnd"/>
      <w:r>
        <w:rPr>
          <w:rFonts w:ascii="仿宋" w:eastAsia="仿宋" w:hAnsi="仿宋" w:cs="宋体" w:hint="eastAsia"/>
          <w:sz w:val="28"/>
          <w:szCs w:val="28"/>
        </w:rPr>
        <w:t>投标和实际施工方式不一致的理由？</w:t>
      </w:r>
    </w:p>
    <w:p w14:paraId="60E0A0FF"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3.如何处理招标文件中技术参数要求与实际情况不符的情况？</w:t>
      </w:r>
    </w:p>
    <w:p w14:paraId="248D465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4.是否可以重新组价，考虑到招标限价较低而市场价较高？</w:t>
      </w:r>
    </w:p>
    <w:p w14:paraId="5AD0E43A"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5.如何处理中标后发包人不能接受招标人或招标人委派的监理工程师调整施工组织设计并获得额外支付的情况？</w:t>
      </w:r>
    </w:p>
    <w:p w14:paraId="1AD076B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6.建设单位要求承包人公开招标，但承包人希望进行邀请招标，如何妥善处理？</w:t>
      </w:r>
    </w:p>
    <w:p w14:paraId="4A67F931"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7.总包合同规定承包人自行复核勘察资料的准确性和完整性，并承担风险，应如何应对？</w:t>
      </w:r>
    </w:p>
    <w:p w14:paraId="11CFA00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8.如何确定材料调价差和</w:t>
      </w:r>
      <w:proofErr w:type="gramStart"/>
      <w:r>
        <w:rPr>
          <w:rFonts w:ascii="仿宋" w:eastAsia="仿宋" w:hAnsi="仿宋" w:cs="宋体" w:hint="eastAsia"/>
          <w:sz w:val="28"/>
          <w:szCs w:val="28"/>
        </w:rPr>
        <w:t>调差工程</w:t>
      </w:r>
      <w:proofErr w:type="gramEnd"/>
      <w:r>
        <w:rPr>
          <w:rFonts w:ascii="仿宋" w:eastAsia="仿宋" w:hAnsi="仿宋" w:cs="宋体" w:hint="eastAsia"/>
          <w:sz w:val="28"/>
          <w:szCs w:val="28"/>
        </w:rPr>
        <w:t>量？</w:t>
      </w:r>
    </w:p>
    <w:p w14:paraId="653BBEA1"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9.材料调价差的风险范围是什么？如何计算材料价差变化幅度？如何计算</w:t>
      </w:r>
      <w:proofErr w:type="gramStart"/>
      <w:r>
        <w:rPr>
          <w:rFonts w:ascii="仿宋" w:eastAsia="仿宋" w:hAnsi="仿宋" w:cs="宋体" w:hint="eastAsia"/>
          <w:sz w:val="28"/>
          <w:szCs w:val="28"/>
        </w:rPr>
        <w:t>调差材料</w:t>
      </w:r>
      <w:proofErr w:type="gramEnd"/>
      <w:r>
        <w:rPr>
          <w:rFonts w:ascii="仿宋" w:eastAsia="仿宋" w:hAnsi="仿宋" w:cs="宋体" w:hint="eastAsia"/>
          <w:sz w:val="28"/>
          <w:szCs w:val="28"/>
        </w:rPr>
        <w:t>的数量？价格调整方式是什么？如何</w:t>
      </w:r>
      <w:proofErr w:type="gramStart"/>
      <w:r>
        <w:rPr>
          <w:rFonts w:ascii="仿宋" w:eastAsia="仿宋" w:hAnsi="仿宋" w:cs="宋体" w:hint="eastAsia"/>
          <w:sz w:val="28"/>
          <w:szCs w:val="28"/>
        </w:rPr>
        <w:t>计取调差税金</w:t>
      </w:r>
      <w:proofErr w:type="gramEnd"/>
      <w:r>
        <w:rPr>
          <w:rFonts w:ascii="仿宋" w:eastAsia="仿宋" w:hAnsi="仿宋" w:cs="宋体" w:hint="eastAsia"/>
          <w:sz w:val="28"/>
          <w:szCs w:val="28"/>
        </w:rPr>
        <w:t>？</w:t>
      </w:r>
    </w:p>
    <w:p w14:paraId="400D114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10.如何处理工程量清单中的错误项和遗漏项？</w:t>
      </w:r>
    </w:p>
    <w:p w14:paraId="505C0AF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11.招标材料中没有品牌要求，但后期甲方指定了品牌，如何进行调整？</w:t>
      </w:r>
    </w:p>
    <w:p w14:paraId="761D4E1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12.招标策划存在错误，需要调减项目实施内容，应如何处理？</w:t>
      </w:r>
    </w:p>
    <w:p w14:paraId="5D4AAB11"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13.招标清单中按项计取的措施项是否可以根据实际情况结算？</w:t>
      </w:r>
    </w:p>
    <w:p w14:paraId="149180D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14.招标清单中的措施</w:t>
      </w:r>
      <w:proofErr w:type="gramStart"/>
      <w:r>
        <w:rPr>
          <w:rFonts w:ascii="仿宋" w:eastAsia="仿宋" w:hAnsi="仿宋" w:cs="宋体" w:hint="eastAsia"/>
          <w:sz w:val="28"/>
          <w:szCs w:val="28"/>
        </w:rPr>
        <w:t>项没有</w:t>
      </w:r>
      <w:proofErr w:type="gramEnd"/>
      <w:r>
        <w:rPr>
          <w:rFonts w:ascii="仿宋" w:eastAsia="仿宋" w:hAnsi="仿宋" w:cs="宋体" w:hint="eastAsia"/>
          <w:sz w:val="28"/>
          <w:szCs w:val="28"/>
        </w:rPr>
        <w:t>清单量，如何进行结算？</w:t>
      </w:r>
    </w:p>
    <w:p w14:paraId="2D07C35E"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15.如何处理多次招标中暂估价材料的中标价格差异？</w:t>
      </w:r>
    </w:p>
    <w:p w14:paraId="1DDEC72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16.如何处理要求投标人在现场踏勘后自行考虑的费用？</w:t>
      </w:r>
    </w:p>
    <w:p w14:paraId="068A695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17.如何处理人工消耗量不平衡的报价？</w:t>
      </w:r>
    </w:p>
    <w:p w14:paraId="06F7664E"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18.在</w:t>
      </w:r>
      <w:proofErr w:type="gramStart"/>
      <w:r>
        <w:rPr>
          <w:rFonts w:ascii="仿宋" w:eastAsia="仿宋" w:hAnsi="仿宋" w:cs="宋体" w:hint="eastAsia"/>
          <w:sz w:val="28"/>
          <w:szCs w:val="28"/>
        </w:rPr>
        <w:t>甲方供材扣除</w:t>
      </w:r>
      <w:proofErr w:type="gramEnd"/>
      <w:r>
        <w:rPr>
          <w:rFonts w:ascii="仿宋" w:eastAsia="仿宋" w:hAnsi="仿宋" w:cs="宋体" w:hint="eastAsia"/>
          <w:sz w:val="28"/>
          <w:szCs w:val="28"/>
        </w:rPr>
        <w:t>中，是否应该考虑损耗量？</w:t>
      </w:r>
    </w:p>
    <w:p w14:paraId="5C1C66F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19.在不可抗力事件发生时，如何进行补偿？</w:t>
      </w:r>
    </w:p>
    <w:p w14:paraId="48A63CF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20.不可预见的相关费用和风险，如何处理？</w:t>
      </w:r>
    </w:p>
    <w:p w14:paraId="2C7E7F0B" w14:textId="77777777" w:rsidR="00CA702B" w:rsidRDefault="00000000">
      <w:pPr>
        <w:spacing w:line="400" w:lineRule="exact"/>
        <w:rPr>
          <w:rFonts w:ascii="仿宋" w:eastAsia="仿宋" w:hAnsi="仿宋" w:cs="宋体"/>
          <w:b/>
          <w:bCs/>
          <w:sz w:val="28"/>
          <w:szCs w:val="28"/>
        </w:rPr>
      </w:pPr>
      <w:r>
        <w:rPr>
          <w:rFonts w:ascii="仿宋" w:eastAsia="仿宋" w:hAnsi="仿宋" w:cs="宋体" w:hint="eastAsia"/>
          <w:b/>
          <w:bCs/>
          <w:sz w:val="28"/>
          <w:szCs w:val="28"/>
        </w:rPr>
        <w:t>（三）合同签订造价问题</w:t>
      </w:r>
    </w:p>
    <w:p w14:paraId="0BDC874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1.由哪一方承担漏项的专业工程暂估价费用？</w:t>
      </w:r>
    </w:p>
    <w:p w14:paraId="263DED0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2.如何处理招标文件规定中招标人不对限额清单准确性负责的情况，以及中标人承担的风险？</w:t>
      </w:r>
    </w:p>
    <w:p w14:paraId="30BA2D2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3.如何计算误工时间和停窝工损失？</w:t>
      </w:r>
    </w:p>
    <w:p w14:paraId="71624F2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4.如何主张损失索赔，以工作内容理解的偏差、工料消耗量水平的确定、生产要素市场价格的判断和取费决策等为理由？</w:t>
      </w:r>
    </w:p>
    <w:p w14:paraId="6383C19E"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5.如何利用举证来对总包方有利，以排除劳务造价鉴定中的施工水泥费和砂石？</w:t>
      </w:r>
    </w:p>
    <w:p w14:paraId="50A7AFA0"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lastRenderedPageBreak/>
        <w:t>6.邻近规划红线处的施工道路需要设置挡土墙，对费用的处理方式是什么？</w:t>
      </w:r>
    </w:p>
    <w:p w14:paraId="4C09762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7.如何应对材料价格和现场管理费严重偏高的情况？</w:t>
      </w:r>
    </w:p>
    <w:p w14:paraId="22076927"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8.总价合同中如何考虑索赔范围？</w:t>
      </w:r>
    </w:p>
    <w:p w14:paraId="1159B79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9.承包人在索赔管理费用时，需要提供哪些依据来支撑费用核定？</w:t>
      </w:r>
    </w:p>
    <w:p w14:paraId="39E5CF9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10.如何处理二次深化设计费用？</w:t>
      </w:r>
    </w:p>
    <w:p w14:paraId="4059874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11.风险范围是否包括设计变更？</w:t>
      </w:r>
    </w:p>
    <w:p w14:paraId="45A6B9AE"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12.在工程未完工时，如何计算脚手架、垂运费和安全文明施工费？</w:t>
      </w:r>
    </w:p>
    <w:p w14:paraId="282E25B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13.高支</w:t>
      </w:r>
      <w:proofErr w:type="gramStart"/>
      <w:r>
        <w:rPr>
          <w:rFonts w:ascii="仿宋" w:eastAsia="仿宋" w:hAnsi="仿宋" w:cs="宋体" w:hint="eastAsia"/>
          <w:sz w:val="28"/>
          <w:szCs w:val="28"/>
        </w:rPr>
        <w:t>模方案</w:t>
      </w:r>
      <w:proofErr w:type="gramEnd"/>
      <w:r>
        <w:rPr>
          <w:rFonts w:ascii="仿宋" w:eastAsia="仿宋" w:hAnsi="仿宋" w:cs="宋体" w:hint="eastAsia"/>
          <w:sz w:val="28"/>
          <w:szCs w:val="28"/>
        </w:rPr>
        <w:t>经专家认证后，是否可以根据实际费用进行计取？</w:t>
      </w:r>
    </w:p>
    <w:p w14:paraId="0D69F810"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14.单方提出因工程质量问题而扣减工程量的做法是否合理？</w:t>
      </w:r>
    </w:p>
    <w:p w14:paraId="355E26B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15.在单价合同中，如何调整按项包干的措施费用？</w:t>
      </w:r>
    </w:p>
    <w:p w14:paraId="780067C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16.单价项目按总价处理是否属于清单计价方式的错误，能否根据实际情况进行调整？</w:t>
      </w:r>
    </w:p>
    <w:p w14:paraId="429A8F6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17.当地</w:t>
      </w:r>
      <w:proofErr w:type="gramStart"/>
      <w:r>
        <w:rPr>
          <w:rFonts w:ascii="仿宋" w:eastAsia="仿宋" w:hAnsi="仿宋" w:cs="宋体" w:hint="eastAsia"/>
          <w:sz w:val="28"/>
          <w:szCs w:val="28"/>
        </w:rPr>
        <w:t>勘</w:t>
      </w:r>
      <w:proofErr w:type="gramEnd"/>
      <w:r>
        <w:rPr>
          <w:rFonts w:ascii="仿宋" w:eastAsia="仿宋" w:hAnsi="仿宋" w:cs="宋体" w:hint="eastAsia"/>
          <w:sz w:val="28"/>
          <w:szCs w:val="28"/>
        </w:rPr>
        <w:t>报告出现错误时，如何调整清单项目的特征？</w:t>
      </w:r>
    </w:p>
    <w:p w14:paraId="3E7BD57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18.当隐蔽验收资料与施工图不一致时，能否根据实际情况进行调整？</w:t>
      </w:r>
    </w:p>
    <w:p w14:paraId="2FB8B31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19.在增建工程尚未签订合同的情况下，双方口头约定计价依据参照原合同，如何处理？</w:t>
      </w:r>
    </w:p>
    <w:p w14:paraId="5BBB14B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20.在办理施工许可证时签署的空白施工合同，如果双方在后期对主要合同条款没有达成共识，应该如何处理？</w:t>
      </w:r>
    </w:p>
    <w:p w14:paraId="331622B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21.能否调整事后确定的品牌，即使招标文件中未约定？</w:t>
      </w:r>
    </w:p>
    <w:p w14:paraId="733DD051"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22.如何调整投标价格，当招标清单没有品牌要求但后来甲方指定了品牌？</w:t>
      </w:r>
    </w:p>
    <w:p w14:paraId="256DA27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23.招标文件中给定的为0元项，能否根据实际施工结算进行调整？</w:t>
      </w:r>
    </w:p>
    <w:p w14:paraId="79FEB6EC"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24.措施费的计量单位为项，能否按实际情况进行结算？</w:t>
      </w:r>
    </w:p>
    <w:p w14:paraId="3BBC7A10"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25.如何处理增加部分工程的价款，以避免违规？</w:t>
      </w:r>
    </w:p>
    <w:p w14:paraId="48A39B3E" w14:textId="77777777" w:rsidR="00CA702B" w:rsidRDefault="00000000">
      <w:pPr>
        <w:spacing w:line="400" w:lineRule="exact"/>
        <w:rPr>
          <w:rFonts w:ascii="仿宋" w:eastAsia="仿宋" w:hAnsi="仿宋" w:cs="宋体"/>
          <w:b/>
          <w:bCs/>
          <w:sz w:val="28"/>
          <w:szCs w:val="28"/>
        </w:rPr>
      </w:pPr>
      <w:r>
        <w:rPr>
          <w:rFonts w:ascii="仿宋" w:eastAsia="仿宋" w:hAnsi="仿宋" w:cs="宋体" w:hint="eastAsia"/>
          <w:b/>
          <w:bCs/>
          <w:sz w:val="28"/>
          <w:szCs w:val="28"/>
        </w:rPr>
        <w:t>（四）履约造价问题</w:t>
      </w:r>
    </w:p>
    <w:p w14:paraId="478774C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1.以合同签订内容还是文件规定的执行日期为准？</w:t>
      </w:r>
    </w:p>
    <w:p w14:paraId="32982600"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2.补充协议对已完工的工程是否具有约束力？</w:t>
      </w:r>
    </w:p>
    <w:p w14:paraId="11F6A5D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3.如何处理施工合同文件内容不一致的情况？</w:t>
      </w:r>
    </w:p>
    <w:p w14:paraId="3E44184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4.是否可采用按合同建筑面积计取的方式来确定预算包干费，以弥补未发生的总承包服务费？</w:t>
      </w:r>
    </w:p>
    <w:p w14:paraId="5563E4A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5.如何</w:t>
      </w:r>
      <w:proofErr w:type="gramStart"/>
      <w:r>
        <w:rPr>
          <w:rFonts w:ascii="仿宋" w:eastAsia="仿宋" w:hAnsi="仿宋" w:cs="宋体" w:hint="eastAsia"/>
          <w:sz w:val="28"/>
          <w:szCs w:val="28"/>
        </w:rPr>
        <w:t>解决总</w:t>
      </w:r>
      <w:proofErr w:type="gramEnd"/>
      <w:r>
        <w:rPr>
          <w:rFonts w:ascii="仿宋" w:eastAsia="仿宋" w:hAnsi="仿宋" w:cs="宋体" w:hint="eastAsia"/>
          <w:sz w:val="28"/>
          <w:szCs w:val="28"/>
        </w:rPr>
        <w:t>承包服务费的问题？</w:t>
      </w:r>
    </w:p>
    <w:p w14:paraId="7447055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6.在固定总价合同中，若地勘报告超出预期导致施工费用增加，应该如何处理？</w:t>
      </w:r>
    </w:p>
    <w:p w14:paraId="63A41F4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7.在合同解除后，工程造价应以固定总价为参照还是适用工程所在地的定</w:t>
      </w:r>
      <w:r>
        <w:rPr>
          <w:rFonts w:ascii="仿宋" w:eastAsia="仿宋" w:hAnsi="仿宋" w:cs="宋体" w:hint="eastAsia"/>
          <w:sz w:val="28"/>
          <w:szCs w:val="28"/>
        </w:rPr>
        <w:lastRenderedPageBreak/>
        <w:t>额计价？</w:t>
      </w:r>
    </w:p>
    <w:p w14:paraId="2A502C9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8.在造价鉴定中，是否合理将劳务取费不包含临时设施费，而单独增加临时设施费进行计量？</w:t>
      </w:r>
    </w:p>
    <w:p w14:paraId="60CAD81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9.如何确定变更单价？是否受13清单规范中15%的约束？</w:t>
      </w:r>
    </w:p>
    <w:p w14:paraId="60D00E1E"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10.如何索赔标书购买费、制作费、施工准备费、投标保证金以及项目可预期的利润？</w:t>
      </w:r>
    </w:p>
    <w:p w14:paraId="28BA7E1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11.在不对分包单位进行退场处理且不重新招标的情况下，如何调整建设单位的材料价差，同时不违反主合同的约定？</w:t>
      </w:r>
    </w:p>
    <w:p w14:paraId="15845FD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12.如果合同清单包干的措施费没有发生，将如何处理？</w:t>
      </w:r>
    </w:p>
    <w:p w14:paraId="125CD3D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13.如果合同约定设计变更，但措施费不会调整，将如何结算？</w:t>
      </w:r>
    </w:p>
    <w:p w14:paraId="0E3846D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14.如果合同约定总价包干，但没有招标清单，将如何应对？</w:t>
      </w:r>
    </w:p>
    <w:p w14:paraId="200338A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15.在</w:t>
      </w:r>
      <w:proofErr w:type="gramStart"/>
      <w:r>
        <w:rPr>
          <w:rFonts w:ascii="仿宋" w:eastAsia="仿宋" w:hAnsi="仿宋" w:cs="宋体" w:hint="eastAsia"/>
          <w:sz w:val="28"/>
          <w:szCs w:val="28"/>
        </w:rPr>
        <w:t>甲方供材的</w:t>
      </w:r>
      <w:proofErr w:type="gramEnd"/>
      <w:r>
        <w:rPr>
          <w:rFonts w:ascii="仿宋" w:eastAsia="仿宋" w:hAnsi="仿宋" w:cs="宋体" w:hint="eastAsia"/>
          <w:sz w:val="28"/>
          <w:szCs w:val="28"/>
        </w:rPr>
        <w:t>情况下，是在结算前扣除税款还是在结算后扣除税款？</w:t>
      </w:r>
    </w:p>
    <w:p w14:paraId="36A0D9CC"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16.如果由于甲方原因停工，乙方能获得什么样的赔偿？临</w:t>
      </w:r>
      <w:proofErr w:type="gramStart"/>
      <w:r>
        <w:rPr>
          <w:rFonts w:ascii="仿宋" w:eastAsia="仿宋" w:hAnsi="仿宋" w:cs="宋体" w:hint="eastAsia"/>
          <w:sz w:val="28"/>
          <w:szCs w:val="28"/>
        </w:rPr>
        <w:t>建措施</w:t>
      </w:r>
      <w:proofErr w:type="gramEnd"/>
      <w:r>
        <w:rPr>
          <w:rFonts w:ascii="仿宋" w:eastAsia="仿宋" w:hAnsi="仿宋" w:cs="宋体" w:hint="eastAsia"/>
          <w:sz w:val="28"/>
          <w:szCs w:val="28"/>
        </w:rPr>
        <w:t>索赔的依据是什么？</w:t>
      </w:r>
    </w:p>
    <w:p w14:paraId="53D0485E"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17.在</w:t>
      </w:r>
      <w:proofErr w:type="gramStart"/>
      <w:r>
        <w:rPr>
          <w:rFonts w:ascii="仿宋" w:eastAsia="仿宋" w:hAnsi="仿宋" w:cs="宋体" w:hint="eastAsia"/>
          <w:sz w:val="28"/>
          <w:szCs w:val="28"/>
        </w:rPr>
        <w:t>甲方供材的</w:t>
      </w:r>
      <w:proofErr w:type="gramEnd"/>
      <w:r>
        <w:rPr>
          <w:rFonts w:ascii="仿宋" w:eastAsia="仿宋" w:hAnsi="仿宋" w:cs="宋体" w:hint="eastAsia"/>
          <w:sz w:val="28"/>
          <w:szCs w:val="28"/>
        </w:rPr>
        <w:t>结算中，能否扣减投标报价中的辅助材料费？</w:t>
      </w:r>
    </w:p>
    <w:p w14:paraId="78750F2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18.在已计取综合费用的基础上，是否可以根据签证和施工现场情况计算临时道路费用？</w:t>
      </w:r>
    </w:p>
    <w:p w14:paraId="3DD2E5D8"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19.对于固定总价合同，是否可以将后补充协议改为暂定价，金额与固定总价合同一致，并且结算审核可以全部按可调单价进行？</w:t>
      </w:r>
    </w:p>
    <w:p w14:paraId="5EC85C6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20.对于合价包干的加固费用，是否可以按实际完成的工作进行结算？</w:t>
      </w:r>
    </w:p>
    <w:p w14:paraId="478E639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21.在合同范围内，如果措施项目漏项，是否可以自行增加报价？</w:t>
      </w:r>
    </w:p>
    <w:p w14:paraId="3C9069B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22.如果合同解除，如塔吊退场、劳务退场、分包退场以及材料设备采购合同解约等情况，应该如何处理？对于定制加工但尚未交货的材料和钢结构，应该采取何种措施？</w:t>
      </w:r>
    </w:p>
    <w:p w14:paraId="0B341F4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23.如果工程已经验收合格，但实际做法与原设计有偏差，是否可以执行原投标单价？</w:t>
      </w:r>
    </w:p>
    <w:p w14:paraId="69A05DB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24.结算单价是否应该在招标控制价的120%之内，是否合理？</w:t>
      </w:r>
    </w:p>
    <w:p w14:paraId="4838833C"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25.在低价中标部分发生变更时，如何进行组价？</w:t>
      </w:r>
    </w:p>
    <w:p w14:paraId="3B0F6665" w14:textId="77777777" w:rsidR="00CA702B" w:rsidRDefault="00000000">
      <w:pPr>
        <w:spacing w:line="400" w:lineRule="exact"/>
        <w:rPr>
          <w:rFonts w:ascii="仿宋" w:eastAsia="仿宋" w:hAnsi="仿宋" w:cs="宋体"/>
          <w:b/>
          <w:bCs/>
          <w:sz w:val="28"/>
          <w:szCs w:val="28"/>
        </w:rPr>
      </w:pPr>
      <w:r>
        <w:rPr>
          <w:rFonts w:ascii="仿宋" w:eastAsia="仿宋" w:hAnsi="仿宋" w:cs="宋体" w:hint="eastAsia"/>
          <w:b/>
          <w:bCs/>
          <w:sz w:val="28"/>
          <w:szCs w:val="28"/>
        </w:rPr>
        <w:t>（五）结算造价问题</w:t>
      </w:r>
    </w:p>
    <w:p w14:paraId="58D8031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1.如果固定总价合同尚未完成，如何进行结算？</w:t>
      </w:r>
    </w:p>
    <w:p w14:paraId="71FC41E1"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2.如何处理结算审核中发现的漏报项？</w:t>
      </w:r>
    </w:p>
    <w:p w14:paraId="7578467A"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3.是否可以根据乙方提供的发票审</w:t>
      </w:r>
      <w:proofErr w:type="gramStart"/>
      <w:r>
        <w:rPr>
          <w:rFonts w:ascii="仿宋" w:eastAsia="仿宋" w:hAnsi="仿宋" w:cs="宋体" w:hint="eastAsia"/>
          <w:sz w:val="28"/>
          <w:szCs w:val="28"/>
        </w:rPr>
        <w:t>减进行</w:t>
      </w:r>
      <w:proofErr w:type="gramEnd"/>
      <w:r>
        <w:rPr>
          <w:rFonts w:ascii="仿宋" w:eastAsia="仿宋" w:hAnsi="仿宋" w:cs="宋体" w:hint="eastAsia"/>
          <w:sz w:val="28"/>
          <w:szCs w:val="28"/>
        </w:rPr>
        <w:t>结算审核？</w:t>
      </w:r>
    </w:p>
    <w:p w14:paraId="2234AC5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4.在结算审核过程中，是否需要重新计算和核对原有图纸中的工程量？</w:t>
      </w:r>
    </w:p>
    <w:p w14:paraId="59C4160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5.结算书只有造价咨询企业的公章，没有造价人员签字和</w:t>
      </w:r>
      <w:proofErr w:type="gramStart"/>
      <w:r>
        <w:rPr>
          <w:rFonts w:ascii="仿宋" w:eastAsia="仿宋" w:hAnsi="仿宋" w:cs="宋体" w:hint="eastAsia"/>
          <w:sz w:val="28"/>
          <w:szCs w:val="28"/>
        </w:rPr>
        <w:t>盖职业</w:t>
      </w:r>
      <w:proofErr w:type="gramEnd"/>
      <w:r>
        <w:rPr>
          <w:rFonts w:ascii="仿宋" w:eastAsia="仿宋" w:hAnsi="仿宋" w:cs="宋体" w:hint="eastAsia"/>
          <w:sz w:val="28"/>
          <w:szCs w:val="28"/>
        </w:rPr>
        <w:t>印章，是</w:t>
      </w:r>
      <w:r>
        <w:rPr>
          <w:rFonts w:ascii="仿宋" w:eastAsia="仿宋" w:hAnsi="仿宋" w:cs="宋体" w:hint="eastAsia"/>
          <w:sz w:val="28"/>
          <w:szCs w:val="28"/>
        </w:rPr>
        <w:lastRenderedPageBreak/>
        <w:t>否有效？</w:t>
      </w:r>
    </w:p>
    <w:p w14:paraId="528D68D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6.解除协议后，如何结算产生的大量租赁费和管理费？是否可以按照竣工图进行结算？</w:t>
      </w:r>
    </w:p>
    <w:p w14:paraId="15FB4A8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7.据实结算是按照实际人工费和机械费做书面签证，还是按照</w:t>
      </w:r>
      <w:proofErr w:type="gramStart"/>
      <w:r>
        <w:rPr>
          <w:rFonts w:ascii="仿宋" w:eastAsia="仿宋" w:hAnsi="仿宋" w:cs="宋体" w:hint="eastAsia"/>
          <w:sz w:val="28"/>
          <w:szCs w:val="28"/>
        </w:rPr>
        <w:t>信息价</w:t>
      </w:r>
      <w:proofErr w:type="gramEnd"/>
      <w:r>
        <w:rPr>
          <w:rFonts w:ascii="仿宋" w:eastAsia="仿宋" w:hAnsi="仿宋" w:cs="宋体" w:hint="eastAsia"/>
          <w:sz w:val="28"/>
          <w:szCs w:val="28"/>
        </w:rPr>
        <w:t>进行调整？</w:t>
      </w:r>
    </w:p>
    <w:p w14:paraId="6467221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8.在竣工资料交给当地档案馆时，由谁承担归档整理、图纸扫描等费用？</w:t>
      </w:r>
    </w:p>
    <w:p w14:paraId="6394A327"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9.如何</w:t>
      </w:r>
      <w:proofErr w:type="gramStart"/>
      <w:r>
        <w:rPr>
          <w:rFonts w:ascii="仿宋" w:eastAsia="仿宋" w:hAnsi="仿宋" w:cs="宋体" w:hint="eastAsia"/>
          <w:sz w:val="28"/>
          <w:szCs w:val="28"/>
        </w:rPr>
        <w:t>处理受</w:t>
      </w:r>
      <w:proofErr w:type="gramEnd"/>
      <w:r>
        <w:rPr>
          <w:rFonts w:ascii="仿宋" w:eastAsia="仿宋" w:hAnsi="仿宋" w:cs="宋体" w:hint="eastAsia"/>
          <w:sz w:val="28"/>
          <w:szCs w:val="28"/>
        </w:rPr>
        <w:t>征地影响的施工降效费用？</w:t>
      </w:r>
    </w:p>
    <w:p w14:paraId="5843E93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10.在签订《结算协议》后，是否还可以要求支付逾期竣工违约金？</w:t>
      </w:r>
    </w:p>
    <w:p w14:paraId="4057630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11.如果项目的价格高于预算，应该如何进行结算？</w:t>
      </w:r>
    </w:p>
    <w:p w14:paraId="737E371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12.如果建设方未补充增建工程的招投标手续，直接将其视为合同中的增项，这样做是否合法？</w:t>
      </w:r>
    </w:p>
    <w:p w14:paraId="4C15493F"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13.如果没有详细的招投标清单，如何进行结算？</w:t>
      </w:r>
    </w:p>
    <w:p w14:paraId="67A7DD8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14.如果项目缺乏明确的特征和计量单位，在投标时只报了一个总费用，如何进行结算？</w:t>
      </w:r>
    </w:p>
    <w:p w14:paraId="2DE9CC7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15.如果某些费用没有经过招投标手续，应该如何进行结算？</w:t>
      </w:r>
    </w:p>
    <w:p w14:paraId="7D5513C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16.关于</w:t>
      </w:r>
      <w:proofErr w:type="gramStart"/>
      <w:r>
        <w:rPr>
          <w:rFonts w:ascii="仿宋" w:eastAsia="仿宋" w:hAnsi="仿宋" w:cs="宋体" w:hint="eastAsia"/>
          <w:sz w:val="28"/>
          <w:szCs w:val="28"/>
        </w:rPr>
        <w:t>明沟明塘和暗沟暗塘的</w:t>
      </w:r>
      <w:proofErr w:type="gramEnd"/>
      <w:r>
        <w:rPr>
          <w:rFonts w:ascii="仿宋" w:eastAsia="仿宋" w:hAnsi="仿宋" w:cs="宋体" w:hint="eastAsia"/>
          <w:sz w:val="28"/>
          <w:szCs w:val="28"/>
        </w:rPr>
        <w:t>措施费用，应该如何进行结算？</w:t>
      </w:r>
    </w:p>
    <w:p w14:paraId="43E53F8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17.如果人工费的市场价与</w:t>
      </w:r>
      <w:proofErr w:type="gramStart"/>
      <w:r>
        <w:rPr>
          <w:rFonts w:ascii="仿宋" w:eastAsia="仿宋" w:hAnsi="仿宋" w:cs="宋体" w:hint="eastAsia"/>
          <w:sz w:val="28"/>
          <w:szCs w:val="28"/>
        </w:rPr>
        <w:t>定额价存在</w:t>
      </w:r>
      <w:proofErr w:type="gramEnd"/>
      <w:r>
        <w:rPr>
          <w:rFonts w:ascii="仿宋" w:eastAsia="仿宋" w:hAnsi="仿宋" w:cs="宋体" w:hint="eastAsia"/>
          <w:sz w:val="28"/>
          <w:szCs w:val="28"/>
        </w:rPr>
        <w:t>差额，应该如何处理这种情况？</w:t>
      </w:r>
    </w:p>
    <w:p w14:paraId="4CC3877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18.如果增建合同约定以定额为依据，咨询</w:t>
      </w:r>
      <w:proofErr w:type="gramStart"/>
      <w:r>
        <w:rPr>
          <w:rFonts w:ascii="仿宋" w:eastAsia="仿宋" w:hAnsi="仿宋" w:cs="宋体" w:hint="eastAsia"/>
          <w:sz w:val="28"/>
          <w:szCs w:val="28"/>
        </w:rPr>
        <w:t>方能否审</w:t>
      </w:r>
      <w:proofErr w:type="gramEnd"/>
      <w:r>
        <w:rPr>
          <w:rFonts w:ascii="仿宋" w:eastAsia="仿宋" w:hAnsi="仿宋" w:cs="宋体" w:hint="eastAsia"/>
          <w:sz w:val="28"/>
          <w:szCs w:val="28"/>
        </w:rPr>
        <w:t>减单价？如果可以采用原合同，如何确定单价？</w:t>
      </w:r>
    </w:p>
    <w:p w14:paraId="042FF2F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19.如何合理合法地结算施工组织措施费？</w:t>
      </w:r>
    </w:p>
    <w:p w14:paraId="3E898DD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20.当市场材料和人工涨价时，如果暂定合同价低于实际单方造价，应该如何进行结算？</w:t>
      </w:r>
    </w:p>
    <w:p w14:paraId="3E12E78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21.当图纸设计发生变更时，场内道路和交通设施费用应如何调整？</w:t>
      </w:r>
    </w:p>
    <w:p w14:paraId="7648833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22.在合同没有约定的情况下，如果图纸设计深度不够，新增的措施费应该按实际计算还是按投标费率计取？</w:t>
      </w:r>
    </w:p>
    <w:p w14:paraId="56DE29F8"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23.当施工场地狭小、临近居民房并且周边居民</w:t>
      </w:r>
      <w:proofErr w:type="gramStart"/>
      <w:r>
        <w:rPr>
          <w:rFonts w:ascii="仿宋" w:eastAsia="仿宋" w:hAnsi="仿宋" w:cs="宋体" w:hint="eastAsia"/>
          <w:sz w:val="28"/>
          <w:szCs w:val="28"/>
        </w:rPr>
        <w:t>阻</w:t>
      </w:r>
      <w:proofErr w:type="gramEnd"/>
      <w:r>
        <w:rPr>
          <w:rFonts w:ascii="仿宋" w:eastAsia="仿宋" w:hAnsi="仿宋" w:cs="宋体" w:hint="eastAsia"/>
          <w:sz w:val="28"/>
          <w:szCs w:val="28"/>
        </w:rPr>
        <w:t>工时，费用应如何处理？</w:t>
      </w:r>
    </w:p>
    <w:p w14:paraId="23FD0568"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24.如果施工单位因不可抗力导致工程机械设备以及前期施工效果全部毁损，如何向建设单位要求支付已施工工程及设备损坏的费用？永久工程的范围包括哪些？</w:t>
      </w:r>
    </w:p>
    <w:p w14:paraId="3CC5395A" w14:textId="77777777" w:rsidR="00CA702B" w:rsidRDefault="00000000">
      <w:pPr>
        <w:spacing w:line="400" w:lineRule="exact"/>
        <w:rPr>
          <w:rFonts w:ascii="仿宋" w:eastAsia="仿宋" w:hAnsi="仿宋" w:cs="宋体"/>
          <w:b/>
          <w:bCs/>
          <w:sz w:val="28"/>
          <w:szCs w:val="28"/>
        </w:rPr>
      </w:pPr>
      <w:r>
        <w:rPr>
          <w:rFonts w:ascii="仿宋" w:eastAsia="仿宋" w:hAnsi="仿宋" w:cs="宋体" w:hint="eastAsia"/>
          <w:sz w:val="28"/>
          <w:szCs w:val="28"/>
        </w:rPr>
        <w:t>25.当双方对材料数量的计算标准发生重大误解时，应该如何处理？</w:t>
      </w:r>
    </w:p>
    <w:p w14:paraId="753611FA" w14:textId="77777777" w:rsidR="00CA702B" w:rsidRDefault="00000000">
      <w:pPr>
        <w:spacing w:line="400" w:lineRule="exact"/>
        <w:rPr>
          <w:rFonts w:ascii="仿宋" w:eastAsia="仿宋" w:hAnsi="仿宋" w:cs="宋体"/>
          <w:b/>
          <w:bCs/>
          <w:sz w:val="28"/>
          <w:szCs w:val="28"/>
        </w:rPr>
      </w:pPr>
      <w:r>
        <w:rPr>
          <w:rFonts w:ascii="仿宋" w:eastAsia="仿宋" w:hAnsi="仿宋" w:cs="宋体" w:hint="eastAsia"/>
          <w:b/>
          <w:bCs/>
          <w:sz w:val="28"/>
          <w:szCs w:val="28"/>
        </w:rPr>
        <w:t>（六）财政评审疑难问题</w:t>
      </w:r>
    </w:p>
    <w:p w14:paraId="365C8D5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1.如何考虑钢板桩租赁和摊销费用？</w:t>
      </w:r>
    </w:p>
    <w:p w14:paraId="17A6530A"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2.静载试验</w:t>
      </w:r>
      <w:proofErr w:type="gramStart"/>
      <w:r>
        <w:rPr>
          <w:rFonts w:ascii="仿宋" w:eastAsia="仿宋" w:hAnsi="仿宋" w:cs="宋体" w:hint="eastAsia"/>
          <w:sz w:val="28"/>
          <w:szCs w:val="28"/>
        </w:rPr>
        <w:t>和钻芯取样</w:t>
      </w:r>
      <w:proofErr w:type="gramEnd"/>
      <w:r>
        <w:rPr>
          <w:rFonts w:ascii="仿宋" w:eastAsia="仿宋" w:hAnsi="仿宋" w:cs="宋体" w:hint="eastAsia"/>
          <w:sz w:val="28"/>
          <w:szCs w:val="28"/>
        </w:rPr>
        <w:t>检测费用由哪方负责承担？</w:t>
      </w:r>
    </w:p>
    <w:p w14:paraId="62CC6EB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3.如何确定变更方案是否合理或过度变更？</w:t>
      </w:r>
    </w:p>
    <w:p w14:paraId="57C03247"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lastRenderedPageBreak/>
        <w:t>4.是否</w:t>
      </w:r>
      <w:proofErr w:type="gramStart"/>
      <w:r>
        <w:rPr>
          <w:rFonts w:ascii="仿宋" w:eastAsia="仿宋" w:hAnsi="仿宋" w:cs="宋体" w:hint="eastAsia"/>
          <w:sz w:val="28"/>
          <w:szCs w:val="28"/>
        </w:rPr>
        <w:t>合理以当地信息价提供</w:t>
      </w:r>
      <w:proofErr w:type="gramEnd"/>
      <w:r>
        <w:rPr>
          <w:rFonts w:ascii="仿宋" w:eastAsia="仿宋" w:hAnsi="仿宋" w:cs="宋体" w:hint="eastAsia"/>
          <w:sz w:val="28"/>
          <w:szCs w:val="28"/>
        </w:rPr>
        <w:t>的指标参考为依据来确定临时设施费？</w:t>
      </w:r>
    </w:p>
    <w:p w14:paraId="0355B8C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5.是否可以根据实际情况调整按项包干的措施费？</w:t>
      </w:r>
    </w:p>
    <w:p w14:paraId="0A9F05E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6.施工方如何去举证赶工费?</w:t>
      </w:r>
    </w:p>
    <w:p w14:paraId="11B27E0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7.招标控制价中的材料价格问题？</w:t>
      </w:r>
    </w:p>
    <w:p w14:paraId="0799D03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8.材料价差比较大已经超过了暂列金额，如何处理？</w:t>
      </w:r>
    </w:p>
    <w:p w14:paraId="32D4FF7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9.暂列金额与</w:t>
      </w:r>
      <w:proofErr w:type="gramStart"/>
      <w:r>
        <w:rPr>
          <w:rFonts w:ascii="仿宋" w:eastAsia="仿宋" w:hAnsi="仿宋" w:cs="宋体" w:hint="eastAsia"/>
          <w:sz w:val="28"/>
          <w:szCs w:val="28"/>
        </w:rPr>
        <w:t>材料调差的</w:t>
      </w:r>
      <w:proofErr w:type="gramEnd"/>
      <w:r>
        <w:rPr>
          <w:rFonts w:ascii="仿宋" w:eastAsia="仿宋" w:hAnsi="仿宋" w:cs="宋体" w:hint="eastAsia"/>
          <w:sz w:val="28"/>
          <w:szCs w:val="28"/>
        </w:rPr>
        <w:t>关系？</w:t>
      </w:r>
    </w:p>
    <w:p w14:paraId="3058F78F"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10.暂估价专业工程的招标费用问题？</w:t>
      </w:r>
    </w:p>
    <w:p w14:paraId="601DEA6F"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11.专业工程暂估价招标，合同约定由承包人作为招标人，与组织招标工作有关的费用，应该列在签约合同价中的哪里?</w:t>
      </w:r>
    </w:p>
    <w:p w14:paraId="76B79B1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12.施工单位延期了，建设单位出了说明，不追究施工方延期责任，建设单位出的说明算不算违背了合同的实质性内容?若判定为违背了合同实质性内容，作为第三方审计单位，该如何处理?</w:t>
      </w:r>
    </w:p>
    <w:p w14:paraId="7CC5710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13.</w:t>
      </w:r>
      <w:proofErr w:type="gramStart"/>
      <w:r>
        <w:rPr>
          <w:rFonts w:ascii="仿宋" w:eastAsia="仿宋" w:hAnsi="仿宋" w:cs="宋体" w:hint="eastAsia"/>
          <w:sz w:val="28"/>
          <w:szCs w:val="28"/>
        </w:rPr>
        <w:t>甲供材</w:t>
      </w:r>
      <w:proofErr w:type="gramEnd"/>
      <w:r>
        <w:rPr>
          <w:rFonts w:ascii="仿宋" w:eastAsia="仿宋" w:hAnsi="仿宋" w:cs="宋体" w:hint="eastAsia"/>
          <w:sz w:val="28"/>
          <w:szCs w:val="28"/>
        </w:rPr>
        <w:t>的工程量计算规则？</w:t>
      </w:r>
    </w:p>
    <w:p w14:paraId="3D8D47A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14.“甲供材”领料量和按计价规范计算的工程量不一致问题？</w:t>
      </w:r>
    </w:p>
    <w:p w14:paraId="700270C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15.“甲供材”领料量(甲乙</w:t>
      </w:r>
      <w:proofErr w:type="gramStart"/>
      <w:r>
        <w:rPr>
          <w:rFonts w:ascii="仿宋" w:eastAsia="仿宋" w:hAnsi="仿宋" w:cs="宋体" w:hint="eastAsia"/>
          <w:sz w:val="28"/>
          <w:szCs w:val="28"/>
        </w:rPr>
        <w:t>双方有签认</w:t>
      </w:r>
      <w:proofErr w:type="gramEnd"/>
      <w:r>
        <w:rPr>
          <w:rFonts w:ascii="仿宋" w:eastAsia="仿宋" w:hAnsi="仿宋" w:cs="宋体" w:hint="eastAsia"/>
          <w:sz w:val="28"/>
          <w:szCs w:val="28"/>
        </w:rPr>
        <w:t>)，和按计价规范计算的工程量，偏差较大时，可否直接采用领料量(实际用量)，作为结算工程量?</w:t>
      </w:r>
    </w:p>
    <w:p w14:paraId="28ACD14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16.定额勘误文件的适用问题？</w:t>
      </w:r>
    </w:p>
    <w:p w14:paraId="08E5E5D1"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17.甲乙双方约定的包干价是否有效?审计方要求提供包干价内事项的签证，是否合</w:t>
      </w:r>
      <w:proofErr w:type="gramStart"/>
      <w:r>
        <w:rPr>
          <w:rFonts w:ascii="仿宋" w:eastAsia="仿宋" w:hAnsi="仿宋" w:cs="宋体" w:hint="eastAsia"/>
          <w:sz w:val="28"/>
          <w:szCs w:val="28"/>
        </w:rPr>
        <w:t>规</w:t>
      </w:r>
      <w:proofErr w:type="gramEnd"/>
      <w:r>
        <w:rPr>
          <w:rFonts w:ascii="仿宋" w:eastAsia="仿宋" w:hAnsi="仿宋" w:cs="宋体" w:hint="eastAsia"/>
          <w:sz w:val="28"/>
          <w:szCs w:val="28"/>
        </w:rPr>
        <w:t>?若双方约定的包干价无效，该如何进行结算?</w:t>
      </w:r>
    </w:p>
    <w:p w14:paraId="76AE45E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18.合同约定与组织招标工作有关的费用由承包人承担，招标清单中没有列出该项目，如何处理？</w:t>
      </w:r>
    </w:p>
    <w:p w14:paraId="16BCE45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19.发包人免除违约责任的补充协议是否为黑合同？</w:t>
      </w:r>
    </w:p>
    <w:p w14:paraId="678FEE2F"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20.中标后合同约定将暂估价项目按照总价包干计价，是否可行？</w:t>
      </w:r>
    </w:p>
    <w:p w14:paraId="17B17D7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21.项目延期是否有法定依据?</w:t>
      </w:r>
    </w:p>
    <w:p w14:paraId="0F26B910"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22.运距签证与场外运输费问题?</w:t>
      </w:r>
    </w:p>
    <w:p w14:paraId="5B966032"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23.部分项目未做，购买的材料甲方同意接收，如何定价？若投标报价时材料存在不平衡报价，如何结算更为合理?</w:t>
      </w:r>
    </w:p>
    <w:p w14:paraId="32F53FA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24.政策性调整与人工费调整文件带来的影响？</w:t>
      </w:r>
    </w:p>
    <w:p w14:paraId="059782D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25.如何处理由图纸错误导致的不平衡报价？</w:t>
      </w:r>
    </w:p>
    <w:p w14:paraId="20837382" w14:textId="77777777" w:rsidR="00CA702B" w:rsidRDefault="00000000">
      <w:pPr>
        <w:spacing w:line="400" w:lineRule="exact"/>
        <w:rPr>
          <w:rFonts w:ascii="仿宋" w:eastAsia="仿宋" w:hAnsi="仿宋" w:cs="宋体"/>
          <w:b/>
          <w:bCs/>
          <w:sz w:val="28"/>
          <w:szCs w:val="28"/>
        </w:rPr>
      </w:pPr>
      <w:r>
        <w:rPr>
          <w:rFonts w:ascii="仿宋" w:eastAsia="仿宋" w:hAnsi="仿宋" w:cs="宋体" w:hint="eastAsia"/>
          <w:b/>
          <w:bCs/>
          <w:sz w:val="28"/>
          <w:szCs w:val="28"/>
        </w:rPr>
        <w:t>（七）结算审计疑难问题</w:t>
      </w:r>
    </w:p>
    <w:p w14:paraId="6DF3104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1.在投标时已经报的取费标准，是否可以进行审计调整？</w:t>
      </w:r>
    </w:p>
    <w:p w14:paraId="20C53E27"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2.当报价不平衡时，是否可以要求审计重新组价？</w:t>
      </w:r>
    </w:p>
    <w:p w14:paraId="49EE327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3.当已经过监理和建设单位签字确认的签证单，但审计方认为</w:t>
      </w:r>
      <w:proofErr w:type="gramStart"/>
      <w:r>
        <w:rPr>
          <w:rFonts w:ascii="仿宋" w:eastAsia="仿宋" w:hAnsi="仿宋" w:cs="宋体" w:hint="eastAsia"/>
          <w:sz w:val="28"/>
          <w:szCs w:val="28"/>
        </w:rPr>
        <w:t>工程量虚大</w:t>
      </w:r>
      <w:proofErr w:type="gramEnd"/>
      <w:r>
        <w:rPr>
          <w:rFonts w:ascii="仿宋" w:eastAsia="仿宋" w:hAnsi="仿宋" w:cs="宋体" w:hint="eastAsia"/>
          <w:sz w:val="28"/>
          <w:szCs w:val="28"/>
        </w:rPr>
        <w:t>时，应如何进行结算？</w:t>
      </w:r>
    </w:p>
    <w:p w14:paraId="5212BFF8"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lastRenderedPageBreak/>
        <w:t>4.隐蔽性工程已完成验收，审计方是否可以进行破坏性试验并扣减费用？</w:t>
      </w:r>
    </w:p>
    <w:p w14:paraId="345B648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5.尽管施工许可证未办理，施工方已经进行了一些前期工作，是否可以争取降效费？</w:t>
      </w:r>
    </w:p>
    <w:p w14:paraId="312CB4A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6.对于未列入暂估价的专业工程，乙方报价是否超过市场价，甲方是否有权干涉价格？</w:t>
      </w:r>
    </w:p>
    <w:p w14:paraId="1B1A9507"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7.未形成工程实体的措施项目，是否可以按照漏项处理？</w:t>
      </w:r>
    </w:p>
    <w:p w14:paraId="65D3EFC7"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8.对于亏损严重的土方开挖及外运工程，是否可以进行调整？</w:t>
      </w:r>
    </w:p>
    <w:p w14:paraId="0EA2950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9.未按照国家现行计量规范强制性规定计量的费用，应如何处理？</w:t>
      </w:r>
    </w:p>
    <w:p w14:paraId="0E3B674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10.第三方清标后提出的价格是否可以作为结算依据？</w:t>
      </w:r>
    </w:p>
    <w:p w14:paraId="17F540A5"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11.审计方是否可以修改预算单价和合同总价，是否违反了合同？</w:t>
      </w:r>
    </w:p>
    <w:p w14:paraId="36BDC27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12.现场实际发生的费用如果没有</w:t>
      </w:r>
      <w:proofErr w:type="gramStart"/>
      <w:r>
        <w:rPr>
          <w:rFonts w:ascii="仿宋" w:eastAsia="仿宋" w:hAnsi="仿宋" w:cs="宋体" w:hint="eastAsia"/>
          <w:sz w:val="28"/>
          <w:szCs w:val="28"/>
        </w:rPr>
        <w:t>经过财评认定</w:t>
      </w:r>
      <w:proofErr w:type="gramEnd"/>
      <w:r>
        <w:rPr>
          <w:rFonts w:ascii="仿宋" w:eastAsia="仿宋" w:hAnsi="仿宋" w:cs="宋体" w:hint="eastAsia"/>
          <w:sz w:val="28"/>
          <w:szCs w:val="28"/>
        </w:rPr>
        <w:t>，是否可以进行结算？</w:t>
      </w:r>
    </w:p>
    <w:p w14:paraId="28DA6F3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13.在政府投资项目财政评审范围之外的货物、设备、软件的总包采购价格如何确定？</w:t>
      </w:r>
    </w:p>
    <w:p w14:paraId="5EE8F029"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14.暂估价、</w:t>
      </w:r>
      <w:proofErr w:type="gramStart"/>
      <w:r>
        <w:rPr>
          <w:rFonts w:ascii="仿宋" w:eastAsia="仿宋" w:hAnsi="仿宋" w:cs="宋体" w:hint="eastAsia"/>
          <w:sz w:val="28"/>
          <w:szCs w:val="28"/>
        </w:rPr>
        <w:t>认质认价</w:t>
      </w:r>
      <w:proofErr w:type="gramEnd"/>
      <w:r>
        <w:rPr>
          <w:rFonts w:ascii="仿宋" w:eastAsia="仿宋" w:hAnsi="仿宋" w:cs="宋体" w:hint="eastAsia"/>
          <w:sz w:val="28"/>
          <w:szCs w:val="28"/>
        </w:rPr>
        <w:t>，结算审计能否被推翻？</w:t>
      </w:r>
    </w:p>
    <w:p w14:paraId="29523FA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15.当清单项目具有相同特征但报价不同的情况下，如何处理？</w:t>
      </w:r>
    </w:p>
    <w:p w14:paraId="536156BD"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16.如何应对清单与图纸不一致的情况？</w:t>
      </w:r>
    </w:p>
    <w:p w14:paraId="584985C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17.对于没有项目特征和具体方案的措施项目，是否可以根据实际发生情况进行调整？</w:t>
      </w:r>
    </w:p>
    <w:p w14:paraId="179DD31A"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18.如何证明甲方适用免责条款无效？</w:t>
      </w:r>
    </w:p>
    <w:p w14:paraId="1CB83B94"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19.当</w:t>
      </w:r>
      <w:proofErr w:type="gramStart"/>
      <w:r>
        <w:rPr>
          <w:rFonts w:ascii="仿宋" w:eastAsia="仿宋" w:hAnsi="仿宋" w:cs="宋体" w:hint="eastAsia"/>
          <w:sz w:val="28"/>
          <w:szCs w:val="28"/>
        </w:rPr>
        <w:t>信息价</w:t>
      </w:r>
      <w:proofErr w:type="gramEnd"/>
      <w:r>
        <w:rPr>
          <w:rFonts w:ascii="仿宋" w:eastAsia="仿宋" w:hAnsi="仿宋" w:cs="宋体" w:hint="eastAsia"/>
          <w:sz w:val="28"/>
          <w:szCs w:val="28"/>
        </w:rPr>
        <w:t>偏高时，是否可以根据市场价格进行审定？</w:t>
      </w:r>
    </w:p>
    <w:p w14:paraId="62D259E8"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20.当施工补充协议与备案的施工合同不一致时，如何进行结算？</w:t>
      </w:r>
    </w:p>
    <w:p w14:paraId="3ACFFB8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21.当施工合同与中标合同约定的工程价款不一致时，是否构成黑白合同？</w:t>
      </w:r>
    </w:p>
    <w:p w14:paraId="57F0AF73"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22.当图纸量少于招标量时，是按总价合同结算还是按实际完成的图纸结算？</w:t>
      </w:r>
    </w:p>
    <w:p w14:paraId="4787A6F8"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23.结算金额以双方结算书为准，还是以审计核减后的金额为准？</w:t>
      </w:r>
    </w:p>
    <w:p w14:paraId="3A1D49EB"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24.如何应对审计单位以缺乏契约依据为由，不予调整人工费结算标准的情况？</w:t>
      </w:r>
    </w:p>
    <w:p w14:paraId="10A97D56" w14:textId="77777777" w:rsidR="00CA702B" w:rsidRDefault="00000000">
      <w:pPr>
        <w:spacing w:line="400" w:lineRule="exact"/>
        <w:rPr>
          <w:rFonts w:ascii="仿宋" w:eastAsia="仿宋" w:hAnsi="仿宋" w:cs="宋体"/>
          <w:sz w:val="28"/>
          <w:szCs w:val="28"/>
        </w:rPr>
      </w:pPr>
      <w:r>
        <w:rPr>
          <w:rFonts w:ascii="仿宋" w:eastAsia="仿宋" w:hAnsi="仿宋" w:cs="宋体" w:hint="eastAsia"/>
          <w:sz w:val="28"/>
          <w:szCs w:val="28"/>
        </w:rPr>
        <w:t>25.如何结算红线外的内容？</w:t>
      </w:r>
    </w:p>
    <w:p w14:paraId="513A1239" w14:textId="77777777" w:rsidR="00CA702B" w:rsidRDefault="00000000">
      <w:pPr>
        <w:spacing w:line="400" w:lineRule="exact"/>
        <w:rPr>
          <w:rFonts w:ascii="仿宋" w:eastAsia="仿宋" w:hAnsi="仿宋" w:cs="宋体"/>
          <w:b/>
          <w:bCs/>
          <w:kern w:val="0"/>
          <w:sz w:val="28"/>
          <w:szCs w:val="28"/>
        </w:rPr>
      </w:pPr>
      <w:r>
        <w:rPr>
          <w:rFonts w:ascii="仿宋" w:eastAsia="仿宋" w:hAnsi="仿宋" w:cs="宋体" w:hint="eastAsia"/>
          <w:b/>
          <w:bCs/>
          <w:kern w:val="0"/>
          <w:sz w:val="28"/>
          <w:szCs w:val="28"/>
        </w:rPr>
        <w:t>二、培训对象</w:t>
      </w:r>
    </w:p>
    <w:p w14:paraId="3BDA0793"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建设行政主管部门、工程建设企业（工程承包、建筑施工、勘察设计、房地产开发、工程项目管理、工程监理、工程咨询、招标办、公共资源交易中心、工程交易中心、投资项目评审中心、工程造价、招标代理等）总经理、总造价顾问、法</w:t>
      </w:r>
      <w:proofErr w:type="gramStart"/>
      <w:r>
        <w:rPr>
          <w:rFonts w:ascii="仿宋" w:eastAsia="仿宋" w:hAnsi="仿宋" w:cs="宋体" w:hint="eastAsia"/>
          <w:kern w:val="0"/>
          <w:sz w:val="28"/>
          <w:szCs w:val="28"/>
        </w:rPr>
        <w:t>务</w:t>
      </w:r>
      <w:proofErr w:type="gramEnd"/>
      <w:r>
        <w:rPr>
          <w:rFonts w:ascii="仿宋" w:eastAsia="仿宋" w:hAnsi="仿宋" w:cs="宋体" w:hint="eastAsia"/>
          <w:kern w:val="0"/>
          <w:sz w:val="28"/>
          <w:szCs w:val="28"/>
        </w:rPr>
        <w:t>总监、总工程师、项目管理、市场开发、商务谈判、招标投标、合同管理、成本管理等中高级管理人员以及业务相关的直</w:t>
      </w:r>
      <w:r>
        <w:rPr>
          <w:rFonts w:ascii="仿宋" w:eastAsia="仿宋" w:hAnsi="仿宋" w:cs="宋体" w:hint="eastAsia"/>
          <w:kern w:val="0"/>
          <w:sz w:val="28"/>
          <w:szCs w:val="28"/>
        </w:rPr>
        <w:lastRenderedPageBreak/>
        <w:t>线经理人等。</w:t>
      </w:r>
    </w:p>
    <w:p w14:paraId="36615756" w14:textId="77777777" w:rsidR="00CA702B" w:rsidRDefault="00000000">
      <w:pPr>
        <w:spacing w:line="400" w:lineRule="exact"/>
        <w:rPr>
          <w:rFonts w:ascii="仿宋" w:eastAsia="仿宋" w:hAnsi="仿宋" w:cs="宋体"/>
          <w:kern w:val="0"/>
          <w:sz w:val="28"/>
          <w:szCs w:val="28"/>
        </w:rPr>
      </w:pPr>
      <w:r>
        <w:rPr>
          <w:rFonts w:ascii="仿宋" w:eastAsia="仿宋" w:hAnsi="仿宋" w:cs="宋体" w:hint="eastAsia"/>
          <w:b/>
          <w:bCs/>
          <w:kern w:val="0"/>
          <w:sz w:val="28"/>
          <w:szCs w:val="28"/>
        </w:rPr>
        <w:t>三、邀请专家</w:t>
      </w:r>
    </w:p>
    <w:p w14:paraId="4F605C47"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拟</w:t>
      </w:r>
      <w:proofErr w:type="gramStart"/>
      <w:r>
        <w:rPr>
          <w:rFonts w:ascii="仿宋" w:eastAsia="仿宋" w:hAnsi="仿宋" w:cs="宋体" w:hint="eastAsia"/>
          <w:kern w:val="0"/>
          <w:sz w:val="28"/>
          <w:szCs w:val="28"/>
        </w:rPr>
        <w:t>邀请住</w:t>
      </w:r>
      <w:proofErr w:type="gramEnd"/>
      <w:r>
        <w:rPr>
          <w:rFonts w:ascii="仿宋" w:eastAsia="仿宋" w:hAnsi="仿宋" w:cs="宋体" w:hint="eastAsia"/>
          <w:kern w:val="0"/>
          <w:sz w:val="28"/>
          <w:szCs w:val="28"/>
        </w:rPr>
        <w:t>建部、行业协会、建筑央企、知名律所等参与新规范编写的有关专家现场授课，结合经典案例和实例分析，并进行现场答疑和互动交流。</w:t>
      </w:r>
    </w:p>
    <w:p w14:paraId="3EC0E80F" w14:textId="77777777" w:rsidR="00CA702B" w:rsidRDefault="00000000">
      <w:pPr>
        <w:spacing w:line="400" w:lineRule="exact"/>
        <w:rPr>
          <w:rFonts w:ascii="仿宋" w:eastAsia="仿宋" w:hAnsi="仿宋" w:cs="宋体"/>
          <w:kern w:val="0"/>
          <w:sz w:val="28"/>
          <w:szCs w:val="28"/>
        </w:rPr>
      </w:pPr>
      <w:r>
        <w:rPr>
          <w:rFonts w:ascii="仿宋" w:eastAsia="仿宋" w:hAnsi="仿宋" w:cs="宋体" w:hint="eastAsia"/>
          <w:b/>
          <w:bCs/>
          <w:kern w:val="0"/>
          <w:sz w:val="28"/>
          <w:szCs w:val="28"/>
        </w:rPr>
        <w:t>四、培训时间、地点</w:t>
      </w:r>
    </w:p>
    <w:p w14:paraId="0993603E"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2024年7月12日—7月15日   贵阳市 （12日全天报到）</w:t>
      </w:r>
    </w:p>
    <w:p w14:paraId="75DFE75D"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2024年7月26日—7月29日   西安市 （26日全天报到）</w:t>
      </w:r>
    </w:p>
    <w:p w14:paraId="29BBC782"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2024年8月16日—8月19日   重庆市 （16日全天报到）</w:t>
      </w:r>
    </w:p>
    <w:p w14:paraId="23E18F49"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2024年8月23日—8月26日   昆明市 （23日全天报到）</w:t>
      </w:r>
    </w:p>
    <w:p w14:paraId="1F429AD2"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2024年9月06日—9月09日   成都市 （06日全天报到）</w:t>
      </w:r>
    </w:p>
    <w:p w14:paraId="593A1FB6"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2024年9月20日—9月23日   南宁市 （20日全天报到）</w:t>
      </w:r>
    </w:p>
    <w:p w14:paraId="25DF7684"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2024年10月18日—10月21日  南京市 （18日全天报到）</w:t>
      </w:r>
    </w:p>
    <w:p w14:paraId="08D260ED"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2024年10月24日—10月27日  厦门市 （24日全天报到）</w:t>
      </w:r>
    </w:p>
    <w:p w14:paraId="09DD15B4" w14:textId="77777777" w:rsidR="00CA702B" w:rsidRDefault="00000000">
      <w:pPr>
        <w:spacing w:line="400" w:lineRule="exact"/>
        <w:rPr>
          <w:rFonts w:ascii="仿宋" w:eastAsia="仿宋" w:hAnsi="仿宋" w:cs="宋体"/>
          <w:kern w:val="0"/>
          <w:sz w:val="28"/>
          <w:szCs w:val="28"/>
        </w:rPr>
      </w:pPr>
      <w:r>
        <w:rPr>
          <w:rFonts w:ascii="仿宋" w:eastAsia="仿宋" w:hAnsi="仿宋" w:cs="宋体" w:hint="eastAsia"/>
          <w:b/>
          <w:bCs/>
          <w:kern w:val="0"/>
          <w:sz w:val="28"/>
          <w:szCs w:val="28"/>
        </w:rPr>
        <w:t>五、相关费用标准</w:t>
      </w:r>
      <w:r>
        <w:rPr>
          <w:rFonts w:ascii="仿宋" w:eastAsia="仿宋" w:hAnsi="仿宋" w:cs="宋体" w:hint="eastAsia"/>
          <w:kern w:val="0"/>
          <w:sz w:val="28"/>
          <w:szCs w:val="28"/>
        </w:rPr>
        <w:t xml:space="preserve">   </w:t>
      </w:r>
    </w:p>
    <w:p w14:paraId="01965750" w14:textId="77777777" w:rsidR="00CA702B" w:rsidRDefault="00000000">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A：3880元/人（</w:t>
      </w:r>
      <w:proofErr w:type="gramStart"/>
      <w:r>
        <w:rPr>
          <w:rFonts w:ascii="仿宋" w:eastAsia="仿宋" w:hAnsi="仿宋" w:cs="宋体" w:hint="eastAsia"/>
          <w:kern w:val="0"/>
          <w:sz w:val="28"/>
          <w:szCs w:val="28"/>
        </w:rPr>
        <w:t>含培训</w:t>
      </w:r>
      <w:proofErr w:type="gramEnd"/>
      <w:r>
        <w:rPr>
          <w:rFonts w:ascii="仿宋" w:eastAsia="仿宋" w:hAnsi="仿宋" w:cs="宋体" w:hint="eastAsia"/>
          <w:kern w:val="0"/>
          <w:sz w:val="28"/>
          <w:szCs w:val="28"/>
        </w:rPr>
        <w:t>费、场地费、资料费、专家、会议期间午餐、结业证书等），住宿统一安排，费用自理。</w:t>
      </w:r>
    </w:p>
    <w:p w14:paraId="7FA03F06" w14:textId="77777777" w:rsidR="00CA702B" w:rsidRDefault="00000000">
      <w:pPr>
        <w:spacing w:line="400" w:lineRule="exact"/>
        <w:ind w:firstLineChars="200" w:firstLine="6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B.5880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14:paraId="2505BF64" w14:textId="77777777" w:rsidR="00CA702B" w:rsidRDefault="00000000">
      <w:pPr>
        <w:spacing w:line="540" w:lineRule="exact"/>
        <w:rPr>
          <w:rFonts w:ascii="仿宋" w:eastAsia="仿宋" w:hAnsi="仿宋" w:cs="宋体"/>
          <w:b/>
          <w:bCs/>
          <w:kern w:val="0"/>
          <w:sz w:val="28"/>
          <w:szCs w:val="28"/>
        </w:rPr>
      </w:pPr>
      <w:r>
        <w:rPr>
          <w:rFonts w:ascii="仿宋" w:eastAsia="仿宋" w:hAnsi="仿宋" w:cs="宋体" w:hint="eastAsia"/>
          <w:b/>
          <w:bCs/>
          <w:kern w:val="0"/>
          <w:sz w:val="28"/>
          <w:szCs w:val="28"/>
        </w:rPr>
        <w:t>六、联系方式</w:t>
      </w:r>
    </w:p>
    <w:p w14:paraId="6ED8D859" w14:textId="77777777" w:rsidR="009A01C3" w:rsidRPr="009A01C3" w:rsidRDefault="009A01C3" w:rsidP="009A01C3">
      <w:pPr>
        <w:spacing w:line="500" w:lineRule="exact"/>
        <w:ind w:firstLineChars="200" w:firstLine="560"/>
        <w:rPr>
          <w:rFonts w:ascii="仿宋" w:eastAsia="仿宋" w:hAnsi="仿宋" w:cs="宋体"/>
          <w:kern w:val="0"/>
          <w:sz w:val="28"/>
          <w:szCs w:val="28"/>
        </w:rPr>
      </w:pPr>
      <w:r w:rsidRPr="009A01C3">
        <w:rPr>
          <w:rFonts w:ascii="仿宋" w:eastAsia="仿宋" w:hAnsi="仿宋" w:cs="宋体" w:hint="eastAsia"/>
          <w:kern w:val="0"/>
          <w:sz w:val="28"/>
          <w:szCs w:val="28"/>
        </w:rPr>
        <w:t>联系人：李老师13671212151 （</w:t>
      </w:r>
      <w:proofErr w:type="gramStart"/>
      <w:r w:rsidRPr="009A01C3">
        <w:rPr>
          <w:rFonts w:ascii="仿宋" w:eastAsia="仿宋" w:hAnsi="仿宋" w:cs="宋体" w:hint="eastAsia"/>
          <w:kern w:val="0"/>
          <w:sz w:val="28"/>
          <w:szCs w:val="28"/>
        </w:rPr>
        <w:t>同微信</w:t>
      </w:r>
      <w:proofErr w:type="gramEnd"/>
      <w:r w:rsidRPr="009A01C3">
        <w:rPr>
          <w:rFonts w:ascii="仿宋" w:eastAsia="仿宋" w:hAnsi="仿宋" w:cs="宋体" w:hint="eastAsia"/>
          <w:kern w:val="0"/>
          <w:sz w:val="28"/>
          <w:szCs w:val="28"/>
        </w:rPr>
        <w:t xml:space="preserve"> ）  </w:t>
      </w:r>
    </w:p>
    <w:p w14:paraId="0FF0C71F" w14:textId="441392DB" w:rsidR="009A01C3" w:rsidRPr="009A01C3" w:rsidRDefault="009A01C3" w:rsidP="009A01C3">
      <w:pPr>
        <w:spacing w:line="500" w:lineRule="exact"/>
        <w:ind w:firstLineChars="200" w:firstLine="560"/>
        <w:rPr>
          <w:rFonts w:ascii="仿宋" w:eastAsia="仿宋" w:hAnsi="仿宋" w:cs="宋体"/>
          <w:kern w:val="0"/>
          <w:sz w:val="28"/>
          <w:szCs w:val="28"/>
        </w:rPr>
      </w:pPr>
      <w:r w:rsidRPr="009A01C3">
        <w:rPr>
          <w:rFonts w:ascii="仿宋" w:eastAsia="仿宋" w:hAnsi="仿宋" w:cs="宋体" w:hint="eastAsia"/>
          <w:kern w:val="0"/>
          <w:sz w:val="28"/>
          <w:szCs w:val="28"/>
        </w:rPr>
        <w:t>电</w:t>
      </w:r>
      <w:r>
        <w:rPr>
          <w:rFonts w:ascii="仿宋" w:eastAsia="仿宋" w:hAnsi="仿宋" w:cs="宋体" w:hint="eastAsia"/>
          <w:kern w:val="0"/>
          <w:sz w:val="28"/>
          <w:szCs w:val="28"/>
        </w:rPr>
        <w:t xml:space="preserve">  </w:t>
      </w:r>
      <w:r w:rsidRPr="009A01C3">
        <w:rPr>
          <w:rFonts w:ascii="仿宋" w:eastAsia="仿宋" w:hAnsi="仿宋" w:cs="宋体" w:hint="eastAsia"/>
          <w:kern w:val="0"/>
          <w:sz w:val="28"/>
          <w:szCs w:val="28"/>
        </w:rPr>
        <w:t>话：010-82472805</w:t>
      </w:r>
    </w:p>
    <w:p w14:paraId="23139C3F" w14:textId="77777777" w:rsidR="009A01C3" w:rsidRPr="009A01C3" w:rsidRDefault="009A01C3" w:rsidP="009A01C3">
      <w:pPr>
        <w:spacing w:line="500" w:lineRule="exact"/>
        <w:ind w:firstLineChars="200" w:firstLine="560"/>
        <w:rPr>
          <w:rFonts w:ascii="仿宋" w:eastAsia="仿宋" w:hAnsi="仿宋" w:cs="宋体"/>
          <w:kern w:val="0"/>
          <w:sz w:val="28"/>
          <w:szCs w:val="28"/>
        </w:rPr>
      </w:pPr>
      <w:r w:rsidRPr="009A01C3">
        <w:rPr>
          <w:rFonts w:ascii="仿宋" w:eastAsia="仿宋" w:hAnsi="仿宋" w:cs="宋体" w:hint="eastAsia"/>
          <w:kern w:val="0"/>
          <w:sz w:val="28"/>
          <w:szCs w:val="28"/>
        </w:rPr>
        <w:t xml:space="preserve">传  真：010-82475455                   </w:t>
      </w:r>
    </w:p>
    <w:p w14:paraId="1256E159" w14:textId="18C0BEC3" w:rsidR="009A01C3" w:rsidRDefault="009A01C3" w:rsidP="009A01C3">
      <w:pPr>
        <w:spacing w:line="500" w:lineRule="exact"/>
        <w:ind w:firstLineChars="200" w:firstLine="560"/>
        <w:rPr>
          <w:rFonts w:ascii="仿宋" w:eastAsia="仿宋" w:hAnsi="仿宋" w:cs="宋体"/>
          <w:kern w:val="0"/>
          <w:sz w:val="28"/>
          <w:szCs w:val="28"/>
        </w:rPr>
      </w:pPr>
      <w:proofErr w:type="gramStart"/>
      <w:r w:rsidRPr="009A01C3">
        <w:rPr>
          <w:rFonts w:ascii="仿宋" w:eastAsia="仿宋" w:hAnsi="仿宋" w:cs="宋体" w:hint="eastAsia"/>
          <w:kern w:val="0"/>
          <w:sz w:val="28"/>
          <w:szCs w:val="28"/>
        </w:rPr>
        <w:t>邮</w:t>
      </w:r>
      <w:proofErr w:type="gramEnd"/>
      <w:r>
        <w:rPr>
          <w:rFonts w:ascii="仿宋" w:eastAsia="仿宋" w:hAnsi="仿宋" w:cs="宋体" w:hint="eastAsia"/>
          <w:kern w:val="0"/>
          <w:sz w:val="28"/>
          <w:szCs w:val="28"/>
        </w:rPr>
        <w:t xml:space="preserve">  </w:t>
      </w:r>
      <w:r w:rsidRPr="009A01C3">
        <w:rPr>
          <w:rFonts w:ascii="仿宋" w:eastAsia="仿宋" w:hAnsi="仿宋" w:cs="宋体" w:hint="eastAsia"/>
          <w:kern w:val="0"/>
          <w:sz w:val="28"/>
          <w:szCs w:val="28"/>
        </w:rPr>
        <w:t>箱：1007944993@qq.com</w:t>
      </w:r>
      <w:r w:rsidR="00000000">
        <w:rPr>
          <w:rFonts w:ascii="仿宋" w:eastAsia="仿宋" w:hAnsi="仿宋" w:cs="宋体" w:hint="eastAsia"/>
          <w:kern w:val="0"/>
          <w:sz w:val="28"/>
          <w:szCs w:val="28"/>
        </w:rPr>
        <w:t xml:space="preserve">                    </w:t>
      </w:r>
    </w:p>
    <w:p w14:paraId="62863151" w14:textId="58668AC2" w:rsidR="00CA702B" w:rsidRDefault="009A01C3">
      <w:pPr>
        <w:spacing w:line="500" w:lineRule="exact"/>
        <w:ind w:firstLineChars="200" w:firstLine="420"/>
        <w:rPr>
          <w:rFonts w:ascii="仿宋" w:eastAsia="仿宋" w:hAnsi="仿宋" w:cs="宋体"/>
          <w:snapToGrid w:val="0"/>
          <w:color w:val="000000"/>
          <w:kern w:val="20"/>
          <w:position w:val="-4"/>
          <w:sz w:val="28"/>
          <w:szCs w:val="28"/>
        </w:rPr>
      </w:pPr>
      <w:r>
        <w:rPr>
          <w:noProof/>
        </w:rPr>
        <w:drawing>
          <wp:anchor distT="0" distB="0" distL="114300" distR="114300" simplePos="0" relativeHeight="251661312" behindDoc="1" locked="0" layoutInCell="1" allowOverlap="1" wp14:anchorId="4881EDF6" wp14:editId="065B0CD7">
            <wp:simplePos x="0" y="0"/>
            <wp:positionH relativeFrom="column">
              <wp:posOffset>3613150</wp:posOffset>
            </wp:positionH>
            <wp:positionV relativeFrom="paragraph">
              <wp:posOffset>168910</wp:posOffset>
            </wp:positionV>
            <wp:extent cx="1448435" cy="1440180"/>
            <wp:effectExtent l="0" t="0" r="24765"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448435" cy="1440180"/>
                    </a:xfrm>
                    <a:prstGeom prst="rect">
                      <a:avLst/>
                    </a:prstGeom>
                    <a:noFill/>
                    <a:ln>
                      <a:noFill/>
                    </a:ln>
                  </pic:spPr>
                </pic:pic>
              </a:graphicData>
            </a:graphic>
          </wp:anchor>
        </w:drawing>
      </w:r>
    </w:p>
    <w:p w14:paraId="511ED13B" w14:textId="77777777" w:rsidR="00CA702B" w:rsidRDefault="00CA702B">
      <w:pPr>
        <w:spacing w:line="420" w:lineRule="exact"/>
        <w:ind w:firstLineChars="200" w:firstLine="560"/>
        <w:rPr>
          <w:rFonts w:ascii="仿宋" w:eastAsia="仿宋" w:hAnsi="仿宋" w:cs="宋体"/>
          <w:kern w:val="0"/>
          <w:sz w:val="28"/>
          <w:szCs w:val="28"/>
        </w:rPr>
      </w:pPr>
    </w:p>
    <w:p w14:paraId="264DB859" w14:textId="77777777" w:rsidR="00CA702B" w:rsidRDefault="00000000">
      <w:pPr>
        <w:pStyle w:val="20"/>
        <w:ind w:left="0" w:firstLineChars="1900" w:firstLine="5320"/>
        <w:rPr>
          <w:rFonts w:hAnsi="仿宋" w:cs="宋体" w:hint="default"/>
          <w:kern w:val="0"/>
          <w:sz w:val="28"/>
          <w:szCs w:val="28"/>
        </w:rPr>
      </w:pPr>
      <w:r>
        <w:rPr>
          <w:rFonts w:hAnsi="仿宋" w:cs="宋体"/>
          <w:kern w:val="0"/>
          <w:sz w:val="28"/>
          <w:szCs w:val="28"/>
        </w:rPr>
        <w:t>中国国际工程咨询协会</w:t>
      </w:r>
    </w:p>
    <w:p w14:paraId="0EA60819" w14:textId="77777777" w:rsidR="00CA702B" w:rsidRDefault="00000000">
      <w:pPr>
        <w:pStyle w:val="20"/>
        <w:ind w:left="0" w:firstLineChars="2000" w:firstLine="5600"/>
        <w:rPr>
          <w:rFonts w:hAnsi="仿宋" w:cs="宋体" w:hint="default"/>
          <w:kern w:val="0"/>
          <w:sz w:val="28"/>
          <w:szCs w:val="28"/>
        </w:rPr>
      </w:pPr>
      <w:r>
        <w:rPr>
          <w:rFonts w:hAnsi="仿宋" w:cs="宋体"/>
          <w:kern w:val="0"/>
          <w:sz w:val="28"/>
          <w:szCs w:val="28"/>
        </w:rPr>
        <w:t>二</w:t>
      </w:r>
      <w:proofErr w:type="gramStart"/>
      <w:r>
        <w:rPr>
          <w:rFonts w:hAnsi="仿宋" w:cs="宋体"/>
          <w:kern w:val="0"/>
          <w:sz w:val="28"/>
          <w:szCs w:val="28"/>
        </w:rPr>
        <w:t>0二四</w:t>
      </w:r>
      <w:proofErr w:type="gramEnd"/>
      <w:r>
        <w:rPr>
          <w:rFonts w:hAnsi="仿宋" w:cs="宋体"/>
          <w:kern w:val="0"/>
          <w:sz w:val="28"/>
          <w:szCs w:val="28"/>
        </w:rPr>
        <w:t>年六月十八日</w:t>
      </w:r>
    </w:p>
    <w:p w14:paraId="4EFC8D4F" w14:textId="77777777" w:rsidR="009A01C3" w:rsidRDefault="009A01C3">
      <w:pPr>
        <w:widowControl/>
        <w:jc w:val="left"/>
        <w:rPr>
          <w:rFonts w:ascii="仿宋" w:eastAsia="仿宋" w:hAnsi="仿宋"/>
          <w:bCs/>
          <w:sz w:val="28"/>
          <w:szCs w:val="28"/>
        </w:rPr>
      </w:pPr>
    </w:p>
    <w:p w14:paraId="129171CA" w14:textId="6E08499A" w:rsidR="00CA702B" w:rsidRDefault="00000000">
      <w:pPr>
        <w:widowControl/>
        <w:jc w:val="left"/>
        <w:rPr>
          <w:rFonts w:ascii="仿宋" w:eastAsia="仿宋" w:hAnsi="仿宋"/>
          <w:bCs/>
          <w:sz w:val="30"/>
          <w:szCs w:val="30"/>
        </w:rPr>
      </w:pPr>
      <w:r>
        <w:rPr>
          <w:rFonts w:ascii="仿宋" w:eastAsia="仿宋" w:hAnsi="仿宋" w:hint="eastAsia"/>
          <w:bCs/>
          <w:sz w:val="28"/>
          <w:szCs w:val="28"/>
        </w:rPr>
        <w:lastRenderedPageBreak/>
        <w:t xml:space="preserve">附 件： </w:t>
      </w:r>
    </w:p>
    <w:p w14:paraId="70C70987" w14:textId="77777777" w:rsidR="00CA702B" w:rsidRDefault="00000000">
      <w:pPr>
        <w:pStyle w:val="1"/>
        <w:widowControl/>
        <w:spacing w:beforeAutospacing="0" w:afterAutospacing="0"/>
        <w:jc w:val="center"/>
        <w:rPr>
          <w:rFonts w:ascii="仿宋" w:eastAsia="仿宋" w:hAnsi="仿宋" w:hint="default"/>
          <w:bCs w:val="0"/>
          <w:kern w:val="2"/>
          <w:sz w:val="30"/>
          <w:szCs w:val="30"/>
        </w:rPr>
      </w:pPr>
      <w:r>
        <w:rPr>
          <w:rFonts w:ascii="仿宋" w:eastAsia="仿宋" w:hAnsi="仿宋"/>
          <w:bCs w:val="0"/>
          <w:kern w:val="2"/>
          <w:sz w:val="30"/>
          <w:szCs w:val="30"/>
        </w:rPr>
        <w:t xml:space="preserve"> 建设项目全过程造价管控与结算审计实务操作专题培训班报名表</w:t>
      </w:r>
    </w:p>
    <w:tbl>
      <w:tblPr>
        <w:tblpPr w:leftFromText="180" w:rightFromText="180" w:vertAnchor="text" w:horzAnchor="page" w:tblpX="1225" w:tblpY="287"/>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54"/>
        <w:gridCol w:w="1293"/>
        <w:gridCol w:w="1952"/>
        <w:gridCol w:w="1896"/>
        <w:gridCol w:w="2164"/>
      </w:tblGrid>
      <w:tr w:rsidR="00CA702B" w14:paraId="2451104C" w14:textId="77777777">
        <w:trPr>
          <w:trHeight w:val="407"/>
        </w:trPr>
        <w:tc>
          <w:tcPr>
            <w:tcW w:w="1678" w:type="dxa"/>
            <w:vAlign w:val="center"/>
          </w:tcPr>
          <w:p w14:paraId="1EC57442"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单位名称</w:t>
            </w:r>
          </w:p>
        </w:tc>
        <w:tc>
          <w:tcPr>
            <w:tcW w:w="4099" w:type="dxa"/>
            <w:gridSpan w:val="3"/>
            <w:vAlign w:val="center"/>
          </w:tcPr>
          <w:p w14:paraId="1809D754"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tc>
        <w:tc>
          <w:tcPr>
            <w:tcW w:w="1896" w:type="dxa"/>
            <w:vAlign w:val="center"/>
          </w:tcPr>
          <w:p w14:paraId="4C9672B4"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邮 编</w:t>
            </w:r>
          </w:p>
        </w:tc>
        <w:tc>
          <w:tcPr>
            <w:tcW w:w="2164" w:type="dxa"/>
            <w:vAlign w:val="center"/>
          </w:tcPr>
          <w:p w14:paraId="42BB3E47"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tc>
      </w:tr>
      <w:tr w:rsidR="00CA702B" w14:paraId="1A7FD009" w14:textId="77777777">
        <w:trPr>
          <w:trHeight w:val="407"/>
        </w:trPr>
        <w:tc>
          <w:tcPr>
            <w:tcW w:w="1678" w:type="dxa"/>
            <w:vAlign w:val="center"/>
          </w:tcPr>
          <w:p w14:paraId="54EAF9AB"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单位地址</w:t>
            </w:r>
          </w:p>
        </w:tc>
        <w:tc>
          <w:tcPr>
            <w:tcW w:w="8159" w:type="dxa"/>
            <w:gridSpan w:val="5"/>
            <w:vAlign w:val="center"/>
          </w:tcPr>
          <w:p w14:paraId="5578E897"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tc>
      </w:tr>
      <w:tr w:rsidR="00CA702B" w14:paraId="16B47125" w14:textId="77777777">
        <w:trPr>
          <w:trHeight w:val="407"/>
        </w:trPr>
        <w:tc>
          <w:tcPr>
            <w:tcW w:w="1678" w:type="dxa"/>
            <w:vAlign w:val="center"/>
          </w:tcPr>
          <w:p w14:paraId="345CA151"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联 系 人</w:t>
            </w:r>
          </w:p>
        </w:tc>
        <w:tc>
          <w:tcPr>
            <w:tcW w:w="2147" w:type="dxa"/>
            <w:gridSpan w:val="2"/>
            <w:vAlign w:val="center"/>
          </w:tcPr>
          <w:p w14:paraId="60A5752B"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tc>
        <w:tc>
          <w:tcPr>
            <w:tcW w:w="1952" w:type="dxa"/>
            <w:vAlign w:val="center"/>
          </w:tcPr>
          <w:p w14:paraId="468CDD2B"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 xml:space="preserve">职    </w:t>
            </w:r>
            <w:proofErr w:type="gramStart"/>
            <w:r>
              <w:rPr>
                <w:rFonts w:ascii="仿宋" w:eastAsia="仿宋" w:hAnsi="仿宋" w:cs="仿宋"/>
                <w:bCs/>
                <w:color w:val="000000"/>
                <w:sz w:val="28"/>
                <w:szCs w:val="28"/>
              </w:rPr>
              <w:t>务</w:t>
            </w:r>
            <w:proofErr w:type="gramEnd"/>
          </w:p>
        </w:tc>
        <w:tc>
          <w:tcPr>
            <w:tcW w:w="4060" w:type="dxa"/>
            <w:gridSpan w:val="2"/>
            <w:vAlign w:val="center"/>
          </w:tcPr>
          <w:p w14:paraId="250D9FB4"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tc>
      </w:tr>
      <w:tr w:rsidR="00CA702B" w14:paraId="1A3FDED0" w14:textId="77777777">
        <w:trPr>
          <w:trHeight w:val="407"/>
        </w:trPr>
        <w:tc>
          <w:tcPr>
            <w:tcW w:w="1678" w:type="dxa"/>
            <w:vAlign w:val="center"/>
          </w:tcPr>
          <w:p w14:paraId="23654720"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手    机</w:t>
            </w:r>
          </w:p>
        </w:tc>
        <w:tc>
          <w:tcPr>
            <w:tcW w:w="2147" w:type="dxa"/>
            <w:gridSpan w:val="2"/>
            <w:vAlign w:val="center"/>
          </w:tcPr>
          <w:p w14:paraId="7F665051"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tc>
        <w:tc>
          <w:tcPr>
            <w:tcW w:w="1952" w:type="dxa"/>
            <w:vAlign w:val="center"/>
          </w:tcPr>
          <w:p w14:paraId="13242E63"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办公电话</w:t>
            </w:r>
          </w:p>
        </w:tc>
        <w:tc>
          <w:tcPr>
            <w:tcW w:w="4060" w:type="dxa"/>
            <w:gridSpan w:val="2"/>
            <w:vAlign w:val="center"/>
          </w:tcPr>
          <w:p w14:paraId="6E144249"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tc>
      </w:tr>
      <w:tr w:rsidR="00CA702B" w14:paraId="26229027" w14:textId="77777777">
        <w:trPr>
          <w:trHeight w:val="407"/>
        </w:trPr>
        <w:tc>
          <w:tcPr>
            <w:tcW w:w="1678" w:type="dxa"/>
            <w:vAlign w:val="center"/>
          </w:tcPr>
          <w:p w14:paraId="1F538172"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传    真</w:t>
            </w:r>
          </w:p>
        </w:tc>
        <w:tc>
          <w:tcPr>
            <w:tcW w:w="2147" w:type="dxa"/>
            <w:gridSpan w:val="2"/>
            <w:vAlign w:val="center"/>
          </w:tcPr>
          <w:p w14:paraId="6199A883"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tc>
        <w:tc>
          <w:tcPr>
            <w:tcW w:w="1952" w:type="dxa"/>
            <w:vAlign w:val="center"/>
          </w:tcPr>
          <w:p w14:paraId="5EE288F9"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电子信箱</w:t>
            </w:r>
          </w:p>
        </w:tc>
        <w:tc>
          <w:tcPr>
            <w:tcW w:w="4060" w:type="dxa"/>
            <w:gridSpan w:val="2"/>
            <w:vAlign w:val="center"/>
          </w:tcPr>
          <w:p w14:paraId="33AD9B10"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tc>
      </w:tr>
      <w:tr w:rsidR="00CA702B" w14:paraId="148AAC50" w14:textId="77777777">
        <w:trPr>
          <w:trHeight w:val="407"/>
        </w:trPr>
        <w:tc>
          <w:tcPr>
            <w:tcW w:w="1678" w:type="dxa"/>
            <w:vAlign w:val="center"/>
          </w:tcPr>
          <w:p w14:paraId="1700EBC2"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参训人员</w:t>
            </w:r>
          </w:p>
        </w:tc>
        <w:tc>
          <w:tcPr>
            <w:tcW w:w="854" w:type="dxa"/>
            <w:vAlign w:val="center"/>
          </w:tcPr>
          <w:p w14:paraId="19611ED0"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性别</w:t>
            </w:r>
          </w:p>
        </w:tc>
        <w:tc>
          <w:tcPr>
            <w:tcW w:w="1293" w:type="dxa"/>
            <w:vAlign w:val="center"/>
          </w:tcPr>
          <w:p w14:paraId="3DE7C0EB"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 xml:space="preserve">职  </w:t>
            </w:r>
            <w:proofErr w:type="gramStart"/>
            <w:r>
              <w:rPr>
                <w:rFonts w:ascii="仿宋" w:eastAsia="仿宋" w:hAnsi="仿宋" w:cs="仿宋"/>
                <w:bCs/>
                <w:color w:val="000000"/>
                <w:sz w:val="28"/>
                <w:szCs w:val="28"/>
              </w:rPr>
              <w:t>务</w:t>
            </w:r>
            <w:proofErr w:type="gramEnd"/>
          </w:p>
        </w:tc>
        <w:tc>
          <w:tcPr>
            <w:tcW w:w="1952" w:type="dxa"/>
            <w:vAlign w:val="center"/>
          </w:tcPr>
          <w:p w14:paraId="7EE0C96A"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电    话</w:t>
            </w:r>
          </w:p>
        </w:tc>
        <w:tc>
          <w:tcPr>
            <w:tcW w:w="1896" w:type="dxa"/>
            <w:vAlign w:val="center"/>
          </w:tcPr>
          <w:p w14:paraId="109BE3BE"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手  机</w:t>
            </w:r>
          </w:p>
        </w:tc>
        <w:tc>
          <w:tcPr>
            <w:tcW w:w="2164" w:type="dxa"/>
            <w:vAlign w:val="center"/>
          </w:tcPr>
          <w:p w14:paraId="477CA9CB"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roofErr w:type="gramStart"/>
            <w:r>
              <w:rPr>
                <w:rFonts w:ascii="仿宋" w:eastAsia="仿宋" w:hAnsi="仿宋" w:cs="仿宋"/>
                <w:bCs/>
                <w:color w:val="000000"/>
                <w:sz w:val="28"/>
                <w:szCs w:val="28"/>
              </w:rPr>
              <w:t>邮</w:t>
            </w:r>
            <w:proofErr w:type="gramEnd"/>
            <w:r>
              <w:rPr>
                <w:rFonts w:ascii="仿宋" w:eastAsia="仿宋" w:hAnsi="仿宋" w:cs="仿宋"/>
                <w:bCs/>
                <w:color w:val="000000"/>
                <w:sz w:val="28"/>
                <w:szCs w:val="28"/>
              </w:rPr>
              <w:t xml:space="preserve">  箱</w:t>
            </w:r>
          </w:p>
        </w:tc>
      </w:tr>
      <w:tr w:rsidR="00CA702B" w14:paraId="54F298E8" w14:textId="77777777">
        <w:trPr>
          <w:trHeight w:val="407"/>
        </w:trPr>
        <w:tc>
          <w:tcPr>
            <w:tcW w:w="1678" w:type="dxa"/>
            <w:vAlign w:val="center"/>
          </w:tcPr>
          <w:p w14:paraId="27012B31"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854" w:type="dxa"/>
            <w:vAlign w:val="center"/>
          </w:tcPr>
          <w:p w14:paraId="72E2BE21"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293" w:type="dxa"/>
            <w:vAlign w:val="center"/>
          </w:tcPr>
          <w:p w14:paraId="7FA4F531"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765F46B8"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896" w:type="dxa"/>
            <w:vAlign w:val="center"/>
          </w:tcPr>
          <w:p w14:paraId="4028ECAA"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2164" w:type="dxa"/>
            <w:vAlign w:val="center"/>
          </w:tcPr>
          <w:p w14:paraId="7D0C1E48"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5D85CB11" w14:textId="77777777">
        <w:trPr>
          <w:trHeight w:val="407"/>
        </w:trPr>
        <w:tc>
          <w:tcPr>
            <w:tcW w:w="1678" w:type="dxa"/>
            <w:vAlign w:val="center"/>
          </w:tcPr>
          <w:p w14:paraId="79E0D3B8"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854" w:type="dxa"/>
            <w:vAlign w:val="center"/>
          </w:tcPr>
          <w:p w14:paraId="41273912"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293" w:type="dxa"/>
            <w:vAlign w:val="center"/>
          </w:tcPr>
          <w:p w14:paraId="18C551DD"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64E25B75"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896" w:type="dxa"/>
            <w:vAlign w:val="center"/>
          </w:tcPr>
          <w:p w14:paraId="5ADB7EFB"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2164" w:type="dxa"/>
            <w:vAlign w:val="center"/>
          </w:tcPr>
          <w:p w14:paraId="31A3371B"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543D228A" w14:textId="77777777">
        <w:trPr>
          <w:trHeight w:val="407"/>
        </w:trPr>
        <w:tc>
          <w:tcPr>
            <w:tcW w:w="1678" w:type="dxa"/>
            <w:vAlign w:val="center"/>
          </w:tcPr>
          <w:p w14:paraId="70CC3738"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854" w:type="dxa"/>
            <w:vAlign w:val="center"/>
          </w:tcPr>
          <w:p w14:paraId="656F5CB2"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293" w:type="dxa"/>
            <w:vAlign w:val="center"/>
          </w:tcPr>
          <w:p w14:paraId="7C441484"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5AD415D2"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896" w:type="dxa"/>
            <w:vAlign w:val="center"/>
          </w:tcPr>
          <w:p w14:paraId="1555FB86"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2164" w:type="dxa"/>
            <w:vAlign w:val="center"/>
          </w:tcPr>
          <w:p w14:paraId="1E9EFC2E"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75C61908" w14:textId="77777777">
        <w:trPr>
          <w:trHeight w:val="407"/>
        </w:trPr>
        <w:tc>
          <w:tcPr>
            <w:tcW w:w="1678" w:type="dxa"/>
            <w:vAlign w:val="center"/>
          </w:tcPr>
          <w:p w14:paraId="4862D9F4"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854" w:type="dxa"/>
            <w:vAlign w:val="center"/>
          </w:tcPr>
          <w:p w14:paraId="13504CF8"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293" w:type="dxa"/>
            <w:vAlign w:val="center"/>
          </w:tcPr>
          <w:p w14:paraId="0AA58C15"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0BFBA7C5"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896" w:type="dxa"/>
            <w:vAlign w:val="center"/>
          </w:tcPr>
          <w:p w14:paraId="505FF580"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2164" w:type="dxa"/>
            <w:vAlign w:val="center"/>
          </w:tcPr>
          <w:p w14:paraId="0C5A0D8A"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0F8393BA" w14:textId="77777777">
        <w:trPr>
          <w:trHeight w:val="407"/>
        </w:trPr>
        <w:tc>
          <w:tcPr>
            <w:tcW w:w="1678" w:type="dxa"/>
            <w:vAlign w:val="center"/>
          </w:tcPr>
          <w:p w14:paraId="4BBB470F"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854" w:type="dxa"/>
            <w:vAlign w:val="center"/>
          </w:tcPr>
          <w:p w14:paraId="6AA1EDBA"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293" w:type="dxa"/>
            <w:vAlign w:val="center"/>
          </w:tcPr>
          <w:p w14:paraId="6129EC42"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20598B34"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896" w:type="dxa"/>
            <w:vAlign w:val="center"/>
          </w:tcPr>
          <w:p w14:paraId="263DFA99"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2164" w:type="dxa"/>
            <w:vAlign w:val="center"/>
          </w:tcPr>
          <w:p w14:paraId="32C3759B"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54E49E30" w14:textId="77777777">
        <w:trPr>
          <w:trHeight w:val="407"/>
        </w:trPr>
        <w:tc>
          <w:tcPr>
            <w:tcW w:w="1678" w:type="dxa"/>
            <w:vAlign w:val="center"/>
          </w:tcPr>
          <w:p w14:paraId="45C706EF"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854" w:type="dxa"/>
            <w:vAlign w:val="center"/>
          </w:tcPr>
          <w:p w14:paraId="7F61D9C9"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293" w:type="dxa"/>
            <w:vAlign w:val="center"/>
          </w:tcPr>
          <w:p w14:paraId="67ECE17D"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059360CA"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896" w:type="dxa"/>
            <w:vAlign w:val="center"/>
          </w:tcPr>
          <w:p w14:paraId="01F4D9D6"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2164" w:type="dxa"/>
            <w:vAlign w:val="center"/>
          </w:tcPr>
          <w:p w14:paraId="29559FEA"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61EEA9C5" w14:textId="77777777">
        <w:trPr>
          <w:trHeight w:val="407"/>
        </w:trPr>
        <w:tc>
          <w:tcPr>
            <w:tcW w:w="1678" w:type="dxa"/>
            <w:vAlign w:val="center"/>
          </w:tcPr>
          <w:p w14:paraId="61958189"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854" w:type="dxa"/>
            <w:vAlign w:val="center"/>
          </w:tcPr>
          <w:p w14:paraId="3F974667"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293" w:type="dxa"/>
            <w:vAlign w:val="center"/>
          </w:tcPr>
          <w:p w14:paraId="2974AAE5"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7BCCE5FC"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896" w:type="dxa"/>
            <w:vAlign w:val="center"/>
          </w:tcPr>
          <w:p w14:paraId="7E9FE9BB"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2164" w:type="dxa"/>
            <w:vAlign w:val="center"/>
          </w:tcPr>
          <w:p w14:paraId="57D6AE6E"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03A43078" w14:textId="77777777">
        <w:trPr>
          <w:trHeight w:val="407"/>
        </w:trPr>
        <w:tc>
          <w:tcPr>
            <w:tcW w:w="1678" w:type="dxa"/>
            <w:vAlign w:val="center"/>
          </w:tcPr>
          <w:p w14:paraId="1BF3D56B"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854" w:type="dxa"/>
            <w:vAlign w:val="center"/>
          </w:tcPr>
          <w:p w14:paraId="744F1E18"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293" w:type="dxa"/>
            <w:vAlign w:val="center"/>
          </w:tcPr>
          <w:p w14:paraId="1A426FB7"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01C46FAA"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896" w:type="dxa"/>
            <w:vAlign w:val="center"/>
          </w:tcPr>
          <w:p w14:paraId="67FC785D"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2164" w:type="dxa"/>
            <w:vAlign w:val="center"/>
          </w:tcPr>
          <w:p w14:paraId="5BA27D0D"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3AC61373" w14:textId="77777777">
        <w:trPr>
          <w:trHeight w:val="407"/>
        </w:trPr>
        <w:tc>
          <w:tcPr>
            <w:tcW w:w="1678" w:type="dxa"/>
            <w:vAlign w:val="center"/>
          </w:tcPr>
          <w:p w14:paraId="4CE42FC7"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854" w:type="dxa"/>
            <w:vAlign w:val="center"/>
          </w:tcPr>
          <w:p w14:paraId="6909CA5E"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293" w:type="dxa"/>
            <w:vAlign w:val="center"/>
          </w:tcPr>
          <w:p w14:paraId="37A579A0"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6237C42B"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896" w:type="dxa"/>
            <w:vAlign w:val="center"/>
          </w:tcPr>
          <w:p w14:paraId="106D85AF"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2164" w:type="dxa"/>
            <w:vAlign w:val="center"/>
          </w:tcPr>
          <w:p w14:paraId="54AE38CE"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7458FC92" w14:textId="77777777">
        <w:trPr>
          <w:trHeight w:val="407"/>
        </w:trPr>
        <w:tc>
          <w:tcPr>
            <w:tcW w:w="1678" w:type="dxa"/>
            <w:vAlign w:val="center"/>
          </w:tcPr>
          <w:p w14:paraId="5BE4E9BC"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参训时间</w:t>
            </w:r>
          </w:p>
        </w:tc>
        <w:tc>
          <w:tcPr>
            <w:tcW w:w="2147" w:type="dxa"/>
            <w:gridSpan w:val="2"/>
            <w:vAlign w:val="center"/>
          </w:tcPr>
          <w:p w14:paraId="77E7ABA8"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c>
          <w:tcPr>
            <w:tcW w:w="1952" w:type="dxa"/>
            <w:vAlign w:val="center"/>
          </w:tcPr>
          <w:p w14:paraId="0DB14E7C"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参训地点</w:t>
            </w:r>
          </w:p>
        </w:tc>
        <w:tc>
          <w:tcPr>
            <w:tcW w:w="4060" w:type="dxa"/>
            <w:gridSpan w:val="2"/>
            <w:vAlign w:val="center"/>
          </w:tcPr>
          <w:p w14:paraId="661CA7A9"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4DE326FC" w14:textId="77777777">
        <w:trPr>
          <w:trHeight w:val="407"/>
        </w:trPr>
        <w:tc>
          <w:tcPr>
            <w:tcW w:w="1678" w:type="dxa"/>
            <w:vAlign w:val="center"/>
          </w:tcPr>
          <w:p w14:paraId="14DE68C0"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住宿标准</w:t>
            </w:r>
          </w:p>
        </w:tc>
        <w:tc>
          <w:tcPr>
            <w:tcW w:w="8159" w:type="dxa"/>
            <w:gridSpan w:val="5"/>
            <w:vAlign w:val="center"/>
          </w:tcPr>
          <w:p w14:paraId="33653D08" w14:textId="77777777" w:rsidR="00CA702B" w:rsidRDefault="00000000">
            <w:pPr>
              <w:tabs>
                <w:tab w:val="left" w:pos="567"/>
                <w:tab w:val="left" w:pos="709"/>
              </w:tabs>
              <w:spacing w:line="300" w:lineRule="exact"/>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单住□      合住</w:t>
            </w:r>
            <w:r>
              <w:rPr>
                <w:rFonts w:ascii="仿宋" w:eastAsia="仿宋" w:hAnsi="仿宋" w:cs="仿宋" w:hint="eastAsia"/>
                <w:bCs/>
                <w:color w:val="000000"/>
                <w:sz w:val="28"/>
                <w:szCs w:val="28"/>
              </w:rPr>
              <w:t>□</w:t>
            </w:r>
            <w:r>
              <w:rPr>
                <w:rFonts w:ascii="仿宋" w:eastAsia="仿宋" w:hAnsi="仿宋" w:cs="仿宋"/>
                <w:bCs/>
                <w:color w:val="000000"/>
                <w:sz w:val="28"/>
                <w:szCs w:val="28"/>
              </w:rPr>
              <w:t xml:space="preserve">     自理□</w:t>
            </w:r>
          </w:p>
        </w:tc>
      </w:tr>
      <w:tr w:rsidR="00CA702B" w14:paraId="144DC863" w14:textId="77777777">
        <w:trPr>
          <w:trHeight w:val="407"/>
        </w:trPr>
        <w:tc>
          <w:tcPr>
            <w:tcW w:w="1678" w:type="dxa"/>
            <w:vAlign w:val="center"/>
          </w:tcPr>
          <w:p w14:paraId="1E5B6B8A"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证书申报</w:t>
            </w:r>
          </w:p>
        </w:tc>
        <w:tc>
          <w:tcPr>
            <w:tcW w:w="8159" w:type="dxa"/>
            <w:gridSpan w:val="5"/>
            <w:vAlign w:val="center"/>
          </w:tcPr>
          <w:p w14:paraId="34394661" w14:textId="77777777" w:rsidR="00CA702B" w:rsidRDefault="00000000">
            <w:pPr>
              <w:tabs>
                <w:tab w:val="left" w:pos="567"/>
                <w:tab w:val="left" w:pos="709"/>
              </w:tabs>
              <w:spacing w:line="300" w:lineRule="exact"/>
              <w:textAlignment w:val="baseline"/>
              <w:outlineLvl w:val="0"/>
              <w:rPr>
                <w:rFonts w:ascii="仿宋" w:eastAsia="仿宋" w:hAnsi="仿宋" w:cs="仿宋"/>
                <w:bCs/>
                <w:color w:val="000000"/>
                <w:sz w:val="28"/>
                <w:szCs w:val="28"/>
              </w:rPr>
            </w:pPr>
            <w:r>
              <w:rPr>
                <w:rFonts w:ascii="仿宋" w:eastAsia="仿宋" w:hAnsi="仿宋" w:cs="仿宋" w:hint="eastAsia"/>
                <w:bCs/>
                <w:color w:val="000000"/>
                <w:sz w:val="28"/>
                <w:szCs w:val="28"/>
              </w:rPr>
              <w:t>《工程总包项目经理》□ 《商务经理》□  《造价经理》□</w:t>
            </w:r>
          </w:p>
        </w:tc>
      </w:tr>
      <w:tr w:rsidR="00CA702B" w14:paraId="3032E360" w14:textId="77777777">
        <w:trPr>
          <w:trHeight w:val="407"/>
        </w:trPr>
        <w:tc>
          <w:tcPr>
            <w:tcW w:w="1678" w:type="dxa"/>
            <w:vAlign w:val="center"/>
          </w:tcPr>
          <w:p w14:paraId="070D4CF1"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付款方式</w:t>
            </w:r>
          </w:p>
        </w:tc>
        <w:tc>
          <w:tcPr>
            <w:tcW w:w="4099" w:type="dxa"/>
            <w:gridSpan w:val="3"/>
            <w:vAlign w:val="center"/>
          </w:tcPr>
          <w:p w14:paraId="244D7E43" w14:textId="77777777" w:rsidR="00CA702B" w:rsidRDefault="00000000">
            <w:pPr>
              <w:tabs>
                <w:tab w:val="left" w:pos="567"/>
                <w:tab w:val="left" w:pos="709"/>
              </w:tabs>
              <w:spacing w:line="300" w:lineRule="exact"/>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转账□      现场□</w:t>
            </w:r>
          </w:p>
        </w:tc>
        <w:tc>
          <w:tcPr>
            <w:tcW w:w="1896" w:type="dxa"/>
            <w:vAlign w:val="center"/>
          </w:tcPr>
          <w:p w14:paraId="4BF19978"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金 额</w:t>
            </w:r>
          </w:p>
        </w:tc>
        <w:tc>
          <w:tcPr>
            <w:tcW w:w="2164" w:type="dxa"/>
          </w:tcPr>
          <w:p w14:paraId="0E99753A" w14:textId="77777777" w:rsidR="00CA702B" w:rsidRDefault="00CA702B">
            <w:pPr>
              <w:tabs>
                <w:tab w:val="left" w:pos="567"/>
                <w:tab w:val="left" w:pos="709"/>
              </w:tabs>
              <w:spacing w:line="300" w:lineRule="exact"/>
              <w:textAlignment w:val="baseline"/>
              <w:outlineLvl w:val="0"/>
              <w:rPr>
                <w:rFonts w:ascii="仿宋" w:eastAsia="仿宋" w:hAnsi="仿宋" w:cs="仿宋"/>
                <w:bCs/>
                <w:color w:val="000000"/>
                <w:sz w:val="28"/>
                <w:szCs w:val="28"/>
              </w:rPr>
            </w:pPr>
          </w:p>
        </w:tc>
      </w:tr>
      <w:tr w:rsidR="00CA702B" w14:paraId="1BB52E2F" w14:textId="77777777">
        <w:trPr>
          <w:trHeight w:val="1025"/>
        </w:trPr>
        <w:tc>
          <w:tcPr>
            <w:tcW w:w="1678" w:type="dxa"/>
            <w:vAlign w:val="center"/>
          </w:tcPr>
          <w:p w14:paraId="2B49A149" w14:textId="77777777" w:rsidR="00CA702B" w:rsidRDefault="00CA702B">
            <w:pPr>
              <w:tabs>
                <w:tab w:val="left" w:pos="567"/>
                <w:tab w:val="left" w:pos="709"/>
              </w:tabs>
              <w:spacing w:line="300" w:lineRule="exact"/>
              <w:jc w:val="center"/>
              <w:textAlignment w:val="baseline"/>
              <w:outlineLvl w:val="0"/>
              <w:rPr>
                <w:rFonts w:ascii="仿宋" w:eastAsia="仿宋" w:hAnsi="仿宋" w:cs="仿宋"/>
                <w:bCs/>
                <w:color w:val="000000"/>
                <w:sz w:val="28"/>
                <w:szCs w:val="28"/>
              </w:rPr>
            </w:pPr>
          </w:p>
          <w:p w14:paraId="42BD24F7"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收款信息</w:t>
            </w:r>
          </w:p>
        </w:tc>
        <w:tc>
          <w:tcPr>
            <w:tcW w:w="8159" w:type="dxa"/>
            <w:gridSpan w:val="5"/>
          </w:tcPr>
          <w:p w14:paraId="1F0E53A1" w14:textId="77777777" w:rsidR="009A01C3" w:rsidRPr="009A01C3" w:rsidRDefault="009A01C3" w:rsidP="009A01C3">
            <w:pPr>
              <w:spacing w:line="440" w:lineRule="exact"/>
              <w:rPr>
                <w:rFonts w:ascii="仿宋" w:eastAsia="仿宋" w:hAnsi="仿宋" w:cs="仿宋"/>
                <w:bCs/>
                <w:color w:val="000000"/>
                <w:sz w:val="28"/>
                <w:szCs w:val="28"/>
              </w:rPr>
            </w:pPr>
            <w:r w:rsidRPr="009A01C3">
              <w:rPr>
                <w:rFonts w:ascii="仿宋" w:eastAsia="仿宋" w:hAnsi="仿宋" w:cs="仿宋" w:hint="eastAsia"/>
                <w:bCs/>
                <w:color w:val="000000"/>
                <w:sz w:val="28"/>
                <w:szCs w:val="28"/>
              </w:rPr>
              <w:t>开户名称：</w:t>
            </w:r>
            <w:proofErr w:type="gramStart"/>
            <w:r w:rsidRPr="009A01C3">
              <w:rPr>
                <w:rFonts w:ascii="仿宋" w:eastAsia="仿宋" w:hAnsi="仿宋" w:cs="仿宋" w:hint="eastAsia"/>
                <w:bCs/>
                <w:color w:val="000000"/>
                <w:sz w:val="28"/>
                <w:szCs w:val="28"/>
              </w:rPr>
              <w:t>国企联培企业管理</w:t>
            </w:r>
            <w:proofErr w:type="gramEnd"/>
            <w:r w:rsidRPr="009A01C3">
              <w:rPr>
                <w:rFonts w:ascii="仿宋" w:eastAsia="仿宋" w:hAnsi="仿宋" w:cs="仿宋" w:hint="eastAsia"/>
                <w:bCs/>
                <w:color w:val="000000"/>
                <w:sz w:val="28"/>
                <w:szCs w:val="28"/>
              </w:rPr>
              <w:t>（北京）中心</w:t>
            </w:r>
          </w:p>
          <w:p w14:paraId="03AB0F0C" w14:textId="77777777" w:rsidR="009A01C3" w:rsidRPr="009A01C3" w:rsidRDefault="009A01C3" w:rsidP="009A01C3">
            <w:pPr>
              <w:spacing w:line="440" w:lineRule="exact"/>
              <w:rPr>
                <w:rFonts w:ascii="仿宋" w:eastAsia="仿宋" w:hAnsi="仿宋" w:cs="仿宋"/>
                <w:bCs/>
                <w:color w:val="000000"/>
                <w:sz w:val="28"/>
                <w:szCs w:val="28"/>
              </w:rPr>
            </w:pPr>
            <w:r w:rsidRPr="009A01C3">
              <w:rPr>
                <w:rFonts w:ascii="仿宋" w:eastAsia="仿宋" w:hAnsi="仿宋" w:cs="仿宋" w:hint="eastAsia"/>
                <w:bCs/>
                <w:color w:val="000000"/>
                <w:sz w:val="28"/>
                <w:szCs w:val="28"/>
              </w:rPr>
              <w:t>开 户 行：中国工商银行北京万寿路南口支行</w:t>
            </w:r>
          </w:p>
          <w:p w14:paraId="3A9FB37A" w14:textId="546D04BE" w:rsidR="00CA702B" w:rsidRDefault="009A01C3" w:rsidP="009A01C3">
            <w:pPr>
              <w:spacing w:line="400" w:lineRule="exact"/>
              <w:rPr>
                <w:rFonts w:ascii="仿宋" w:eastAsia="仿宋" w:hAnsi="仿宋" w:cs="仿宋"/>
                <w:bCs/>
                <w:color w:val="000000"/>
                <w:sz w:val="28"/>
                <w:szCs w:val="28"/>
              </w:rPr>
            </w:pPr>
            <w:proofErr w:type="gramStart"/>
            <w:r w:rsidRPr="009A01C3">
              <w:rPr>
                <w:rFonts w:ascii="仿宋" w:eastAsia="仿宋" w:hAnsi="仿宋" w:cs="仿宋" w:hint="eastAsia"/>
                <w:bCs/>
                <w:color w:val="000000"/>
                <w:sz w:val="28"/>
                <w:szCs w:val="28"/>
              </w:rPr>
              <w:t>账</w:t>
            </w:r>
            <w:proofErr w:type="gramEnd"/>
            <w:r w:rsidRPr="009A01C3">
              <w:rPr>
                <w:rFonts w:ascii="仿宋" w:eastAsia="仿宋" w:hAnsi="仿宋" w:cs="仿宋" w:hint="eastAsia"/>
                <w:bCs/>
                <w:color w:val="000000"/>
                <w:sz w:val="28"/>
                <w:szCs w:val="28"/>
              </w:rPr>
              <w:t xml:space="preserve">    号：</w:t>
            </w:r>
            <w:r w:rsidRPr="009A01C3">
              <w:rPr>
                <w:rFonts w:ascii="仿宋" w:eastAsia="仿宋" w:hAnsi="仿宋" w:cs="仿宋"/>
                <w:bCs/>
                <w:color w:val="000000"/>
                <w:sz w:val="28"/>
                <w:szCs w:val="28"/>
              </w:rPr>
              <w:t>02000</w:t>
            </w:r>
            <w:r w:rsidRPr="009A01C3">
              <w:rPr>
                <w:rFonts w:ascii="仿宋" w:eastAsia="仿宋" w:hAnsi="仿宋" w:cs="仿宋" w:hint="eastAsia"/>
                <w:bCs/>
                <w:color w:val="000000"/>
                <w:sz w:val="28"/>
                <w:szCs w:val="28"/>
              </w:rPr>
              <w:t xml:space="preserve"> </w:t>
            </w:r>
            <w:r w:rsidRPr="009A01C3">
              <w:rPr>
                <w:rFonts w:ascii="仿宋" w:eastAsia="仿宋" w:hAnsi="仿宋" w:cs="仿宋"/>
                <w:bCs/>
                <w:color w:val="000000"/>
                <w:sz w:val="28"/>
                <w:szCs w:val="28"/>
              </w:rPr>
              <w:t>9640</w:t>
            </w:r>
            <w:r w:rsidRPr="009A01C3">
              <w:rPr>
                <w:rFonts w:ascii="仿宋" w:eastAsia="仿宋" w:hAnsi="仿宋" w:cs="仿宋" w:hint="eastAsia"/>
                <w:bCs/>
                <w:color w:val="000000"/>
                <w:sz w:val="28"/>
                <w:szCs w:val="28"/>
              </w:rPr>
              <w:t xml:space="preserve"> </w:t>
            </w:r>
            <w:r w:rsidRPr="009A01C3">
              <w:rPr>
                <w:rFonts w:ascii="仿宋" w:eastAsia="仿宋" w:hAnsi="仿宋" w:cs="仿宋"/>
                <w:bCs/>
                <w:color w:val="000000"/>
                <w:sz w:val="28"/>
                <w:szCs w:val="28"/>
              </w:rPr>
              <w:t>9000</w:t>
            </w:r>
            <w:r w:rsidRPr="009A01C3">
              <w:rPr>
                <w:rFonts w:ascii="仿宋" w:eastAsia="仿宋" w:hAnsi="仿宋" w:cs="仿宋" w:hint="eastAsia"/>
                <w:bCs/>
                <w:color w:val="000000"/>
                <w:sz w:val="28"/>
                <w:szCs w:val="28"/>
              </w:rPr>
              <w:t xml:space="preserve"> </w:t>
            </w:r>
            <w:r w:rsidRPr="009A01C3">
              <w:rPr>
                <w:rFonts w:ascii="仿宋" w:eastAsia="仿宋" w:hAnsi="仿宋" w:cs="仿宋"/>
                <w:bCs/>
                <w:color w:val="000000"/>
                <w:sz w:val="28"/>
                <w:szCs w:val="28"/>
              </w:rPr>
              <w:t>026879</w:t>
            </w:r>
          </w:p>
        </w:tc>
      </w:tr>
      <w:tr w:rsidR="00CA702B" w14:paraId="4A8BCD8E" w14:textId="77777777">
        <w:trPr>
          <w:trHeight w:val="1253"/>
        </w:trPr>
        <w:tc>
          <w:tcPr>
            <w:tcW w:w="1678" w:type="dxa"/>
            <w:vAlign w:val="center"/>
          </w:tcPr>
          <w:p w14:paraId="10B972E8" w14:textId="77777777" w:rsidR="00CA702B" w:rsidRDefault="00000000">
            <w:pPr>
              <w:tabs>
                <w:tab w:val="left" w:pos="567"/>
                <w:tab w:val="left" w:pos="709"/>
              </w:tabs>
              <w:spacing w:line="300" w:lineRule="exact"/>
              <w:jc w:val="center"/>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备    注</w:t>
            </w:r>
          </w:p>
        </w:tc>
        <w:tc>
          <w:tcPr>
            <w:tcW w:w="4099" w:type="dxa"/>
            <w:gridSpan w:val="3"/>
            <w:vAlign w:val="center"/>
          </w:tcPr>
          <w:p w14:paraId="3579D9BE" w14:textId="77777777" w:rsidR="00CA702B" w:rsidRDefault="00000000">
            <w:pPr>
              <w:tabs>
                <w:tab w:val="left" w:pos="567"/>
                <w:tab w:val="left" w:pos="709"/>
              </w:tabs>
              <w:spacing w:line="300" w:lineRule="exact"/>
              <w:ind w:firstLineChars="200" w:firstLine="560"/>
              <w:textAlignment w:val="baseline"/>
              <w:outlineLvl w:val="0"/>
              <w:rPr>
                <w:rFonts w:ascii="仿宋" w:eastAsia="仿宋" w:hAnsi="仿宋" w:cs="仿宋"/>
                <w:bCs/>
                <w:color w:val="000000"/>
                <w:sz w:val="28"/>
                <w:szCs w:val="28"/>
              </w:rPr>
            </w:pPr>
            <w:r>
              <w:rPr>
                <w:rFonts w:ascii="仿宋" w:eastAsia="仿宋" w:hAnsi="仿宋" w:cs="仿宋" w:hint="eastAsia"/>
                <w:bCs/>
                <w:color w:val="000000"/>
                <w:sz w:val="28"/>
                <w:szCs w:val="28"/>
              </w:rPr>
              <w:t>本</w:t>
            </w:r>
            <w:r>
              <w:rPr>
                <w:rFonts w:ascii="仿宋" w:eastAsia="仿宋" w:hAnsi="仿宋" w:cs="仿宋"/>
                <w:bCs/>
                <w:color w:val="000000"/>
                <w:sz w:val="28"/>
                <w:szCs w:val="28"/>
              </w:rPr>
              <w:t>课程可</w:t>
            </w:r>
            <w:r>
              <w:rPr>
                <w:rFonts w:ascii="仿宋" w:eastAsia="仿宋" w:hAnsi="仿宋" w:cs="仿宋" w:hint="eastAsia"/>
                <w:bCs/>
                <w:color w:val="000000"/>
                <w:sz w:val="28"/>
                <w:szCs w:val="28"/>
              </w:rPr>
              <w:t>根</w:t>
            </w:r>
            <w:r>
              <w:rPr>
                <w:rFonts w:ascii="仿宋" w:eastAsia="仿宋" w:hAnsi="仿宋" w:cs="仿宋"/>
                <w:bCs/>
                <w:color w:val="000000"/>
                <w:sz w:val="28"/>
                <w:szCs w:val="28"/>
              </w:rPr>
              <w:t>据</w:t>
            </w:r>
            <w:r>
              <w:rPr>
                <w:rFonts w:ascii="仿宋" w:eastAsia="仿宋" w:hAnsi="仿宋" w:cs="仿宋" w:hint="eastAsia"/>
                <w:bCs/>
                <w:color w:val="000000"/>
                <w:sz w:val="28"/>
                <w:szCs w:val="28"/>
              </w:rPr>
              <w:t>单位实际</w:t>
            </w:r>
            <w:r>
              <w:rPr>
                <w:rFonts w:ascii="仿宋" w:eastAsia="仿宋" w:hAnsi="仿宋" w:cs="仿宋"/>
                <w:bCs/>
                <w:color w:val="000000"/>
                <w:sz w:val="28"/>
                <w:szCs w:val="28"/>
              </w:rPr>
              <w:t>需</w:t>
            </w:r>
          </w:p>
          <w:p w14:paraId="1EA30EFD" w14:textId="77777777" w:rsidR="00CA702B" w:rsidRDefault="00CA702B">
            <w:pPr>
              <w:tabs>
                <w:tab w:val="left" w:pos="567"/>
                <w:tab w:val="left" w:pos="709"/>
              </w:tabs>
              <w:spacing w:line="300" w:lineRule="exact"/>
              <w:ind w:firstLineChars="200" w:firstLine="560"/>
              <w:textAlignment w:val="baseline"/>
              <w:outlineLvl w:val="0"/>
              <w:rPr>
                <w:rFonts w:ascii="仿宋" w:eastAsia="仿宋" w:hAnsi="仿宋" w:cs="仿宋"/>
                <w:bCs/>
                <w:color w:val="000000"/>
                <w:sz w:val="28"/>
                <w:szCs w:val="28"/>
              </w:rPr>
            </w:pPr>
          </w:p>
          <w:p w14:paraId="7082C5E4" w14:textId="77777777" w:rsidR="00CA702B" w:rsidRDefault="00000000">
            <w:pPr>
              <w:tabs>
                <w:tab w:val="left" w:pos="567"/>
                <w:tab w:val="left" w:pos="709"/>
              </w:tabs>
              <w:spacing w:line="300" w:lineRule="exact"/>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求</w:t>
            </w:r>
            <w:r>
              <w:rPr>
                <w:rFonts w:ascii="仿宋" w:eastAsia="仿宋" w:hAnsi="仿宋" w:cs="仿宋" w:hint="eastAsia"/>
                <w:bCs/>
                <w:color w:val="000000"/>
                <w:sz w:val="28"/>
                <w:szCs w:val="28"/>
              </w:rPr>
              <w:t>，提供</w:t>
            </w:r>
            <w:r>
              <w:rPr>
                <w:rFonts w:ascii="仿宋" w:eastAsia="仿宋" w:hAnsi="仿宋" w:cs="仿宋"/>
                <w:bCs/>
                <w:color w:val="000000"/>
                <w:sz w:val="28"/>
                <w:szCs w:val="28"/>
              </w:rPr>
              <w:t>内部培训</w:t>
            </w:r>
            <w:r>
              <w:rPr>
                <w:rFonts w:ascii="仿宋" w:eastAsia="仿宋" w:hAnsi="仿宋" w:cs="仿宋" w:hint="eastAsia"/>
                <w:bCs/>
                <w:color w:val="000000"/>
                <w:sz w:val="28"/>
                <w:szCs w:val="28"/>
              </w:rPr>
              <w:t>。</w:t>
            </w:r>
          </w:p>
        </w:tc>
        <w:tc>
          <w:tcPr>
            <w:tcW w:w="4060" w:type="dxa"/>
            <w:gridSpan w:val="2"/>
            <w:vAlign w:val="center"/>
          </w:tcPr>
          <w:p w14:paraId="63EEAEB1" w14:textId="77777777" w:rsidR="00CA702B" w:rsidRDefault="00000000">
            <w:pPr>
              <w:tabs>
                <w:tab w:val="left" w:pos="567"/>
                <w:tab w:val="left" w:pos="709"/>
              </w:tabs>
              <w:spacing w:line="300" w:lineRule="exact"/>
              <w:ind w:firstLineChars="100" w:firstLine="280"/>
              <w:textAlignment w:val="baseline"/>
              <w:outlineLvl w:val="0"/>
              <w:rPr>
                <w:rFonts w:ascii="仿宋" w:eastAsia="仿宋" w:hAnsi="仿宋" w:cs="仿宋"/>
                <w:bCs/>
                <w:color w:val="000000"/>
                <w:sz w:val="28"/>
                <w:szCs w:val="28"/>
              </w:rPr>
            </w:pPr>
            <w:r>
              <w:rPr>
                <w:rFonts w:ascii="仿宋" w:eastAsia="仿宋" w:hAnsi="仿宋" w:cs="仿宋" w:hint="eastAsia"/>
                <w:bCs/>
                <w:color w:val="000000"/>
                <w:sz w:val="28"/>
                <w:szCs w:val="28"/>
              </w:rPr>
              <w:t>参加</w:t>
            </w:r>
            <w:r>
              <w:rPr>
                <w:rFonts w:ascii="仿宋" w:eastAsia="仿宋" w:hAnsi="仿宋" w:cs="仿宋"/>
                <w:bCs/>
                <w:color w:val="000000"/>
                <w:sz w:val="28"/>
                <w:szCs w:val="28"/>
              </w:rPr>
              <w:t>单位</w:t>
            </w:r>
            <w:r>
              <w:rPr>
                <w:rFonts w:ascii="仿宋" w:eastAsia="仿宋" w:hAnsi="仿宋" w:cs="仿宋" w:hint="eastAsia"/>
                <w:bCs/>
                <w:color w:val="000000"/>
                <w:sz w:val="28"/>
                <w:szCs w:val="28"/>
              </w:rPr>
              <w:t>（盖章）</w:t>
            </w:r>
          </w:p>
          <w:p w14:paraId="56B0A7AC" w14:textId="77777777" w:rsidR="00CA702B" w:rsidRDefault="00CA702B">
            <w:pPr>
              <w:pStyle w:val="20"/>
              <w:ind w:firstLine="480"/>
              <w:rPr>
                <w:rFonts w:hint="default"/>
              </w:rPr>
            </w:pPr>
          </w:p>
          <w:p w14:paraId="521D567D" w14:textId="77777777" w:rsidR="00CA702B" w:rsidRDefault="00000000">
            <w:pPr>
              <w:tabs>
                <w:tab w:val="left" w:pos="567"/>
                <w:tab w:val="left" w:pos="709"/>
              </w:tabs>
              <w:spacing w:line="300" w:lineRule="exact"/>
              <w:ind w:firstLineChars="100" w:firstLine="280"/>
              <w:textAlignment w:val="baseline"/>
              <w:outlineLvl w:val="0"/>
              <w:rPr>
                <w:rFonts w:ascii="仿宋" w:eastAsia="仿宋" w:hAnsi="仿宋" w:cs="仿宋"/>
                <w:bCs/>
                <w:color w:val="000000"/>
                <w:sz w:val="28"/>
                <w:szCs w:val="28"/>
              </w:rPr>
            </w:pPr>
            <w:r>
              <w:rPr>
                <w:rFonts w:ascii="仿宋" w:eastAsia="仿宋" w:hAnsi="仿宋" w:cs="仿宋"/>
                <w:bCs/>
                <w:color w:val="000000"/>
                <w:sz w:val="28"/>
                <w:szCs w:val="28"/>
              </w:rPr>
              <w:t>202</w:t>
            </w:r>
            <w:r>
              <w:rPr>
                <w:rFonts w:ascii="仿宋" w:eastAsia="仿宋" w:hAnsi="仿宋" w:cs="仿宋" w:hint="eastAsia"/>
                <w:bCs/>
                <w:color w:val="000000"/>
                <w:sz w:val="28"/>
                <w:szCs w:val="28"/>
              </w:rPr>
              <w:t>4</w:t>
            </w:r>
            <w:r>
              <w:rPr>
                <w:rFonts w:ascii="仿宋" w:eastAsia="仿宋" w:hAnsi="仿宋" w:cs="仿宋"/>
                <w:bCs/>
                <w:color w:val="000000"/>
                <w:sz w:val="28"/>
                <w:szCs w:val="28"/>
              </w:rPr>
              <w:t>年  月  日</w:t>
            </w:r>
          </w:p>
        </w:tc>
      </w:tr>
    </w:tbl>
    <w:p w14:paraId="2BD8CBB3" w14:textId="77777777" w:rsidR="009A01C3" w:rsidRPr="009A01C3" w:rsidRDefault="009A01C3" w:rsidP="009A01C3">
      <w:pPr>
        <w:spacing w:line="500" w:lineRule="exact"/>
        <w:ind w:firstLineChars="400" w:firstLine="1120"/>
        <w:rPr>
          <w:rFonts w:ascii="仿宋" w:eastAsia="仿宋" w:hAnsi="仿宋" w:cs="宋体"/>
          <w:sz w:val="28"/>
          <w:szCs w:val="28"/>
        </w:rPr>
      </w:pPr>
      <w:r w:rsidRPr="009A01C3">
        <w:rPr>
          <w:rFonts w:ascii="仿宋" w:eastAsia="仿宋" w:hAnsi="仿宋" w:cs="宋体" w:hint="eastAsia"/>
          <w:sz w:val="28"/>
          <w:szCs w:val="28"/>
        </w:rPr>
        <w:t>备注：1、此表可复制，汇总名单后发送至会务组；</w:t>
      </w:r>
    </w:p>
    <w:p w14:paraId="370B517E" w14:textId="7F8EA8BA" w:rsidR="009A01C3" w:rsidRPr="009A01C3" w:rsidRDefault="009A01C3" w:rsidP="009A01C3">
      <w:pPr>
        <w:spacing w:line="500" w:lineRule="exact"/>
        <w:ind w:firstLineChars="400" w:firstLine="1120"/>
        <w:rPr>
          <w:rFonts w:ascii="仿宋" w:eastAsia="仿宋" w:hAnsi="仿宋" w:cs="宋体"/>
          <w:sz w:val="28"/>
          <w:szCs w:val="28"/>
        </w:rPr>
      </w:pPr>
      <w:r w:rsidRPr="009A01C3">
        <w:rPr>
          <w:rFonts w:ascii="仿宋" w:eastAsia="仿宋" w:hAnsi="仿宋" w:cs="宋体" w:hint="eastAsia"/>
          <w:sz w:val="28"/>
          <w:szCs w:val="28"/>
        </w:rPr>
        <w:t>2、联系人：李旭13671212151（</w:t>
      </w:r>
      <w:proofErr w:type="gramStart"/>
      <w:r w:rsidRPr="009A01C3">
        <w:rPr>
          <w:rFonts w:ascii="仿宋" w:eastAsia="仿宋" w:hAnsi="仿宋" w:cs="宋体" w:hint="eastAsia"/>
          <w:sz w:val="28"/>
          <w:szCs w:val="28"/>
        </w:rPr>
        <w:t>同微信</w:t>
      </w:r>
      <w:proofErr w:type="gramEnd"/>
      <w:r w:rsidRPr="009A01C3">
        <w:rPr>
          <w:rFonts w:ascii="仿宋" w:eastAsia="仿宋" w:hAnsi="仿宋" w:cs="宋体" w:hint="eastAsia"/>
          <w:sz w:val="28"/>
          <w:szCs w:val="28"/>
        </w:rPr>
        <w:t>）</w:t>
      </w:r>
      <w:r>
        <w:rPr>
          <w:rFonts w:ascii="仿宋" w:eastAsia="仿宋" w:hAnsi="仿宋" w:cs="宋体" w:hint="eastAsia"/>
          <w:sz w:val="28"/>
          <w:szCs w:val="28"/>
        </w:rPr>
        <w:t xml:space="preserve"> </w:t>
      </w:r>
      <w:r w:rsidRPr="009A01C3">
        <w:rPr>
          <w:rFonts w:ascii="仿宋" w:eastAsia="仿宋" w:hAnsi="仿宋" w:cs="宋体" w:hint="eastAsia"/>
          <w:sz w:val="28"/>
          <w:szCs w:val="28"/>
        </w:rPr>
        <w:t>邮箱：1007944993@qq.com</w:t>
      </w:r>
    </w:p>
    <w:p w14:paraId="2B0A8C84" w14:textId="484222D8" w:rsidR="00CA702B" w:rsidRDefault="009A01C3" w:rsidP="009A01C3">
      <w:pPr>
        <w:spacing w:line="500" w:lineRule="exact"/>
        <w:ind w:firstLineChars="400" w:firstLine="1120"/>
        <w:rPr>
          <w:rFonts w:ascii="仿宋" w:eastAsia="仿宋" w:hAnsi="仿宋"/>
          <w:bCs/>
          <w:sz w:val="28"/>
          <w:szCs w:val="28"/>
        </w:rPr>
      </w:pPr>
      <w:r w:rsidRPr="009A01C3">
        <w:rPr>
          <w:rFonts w:ascii="仿宋" w:eastAsia="仿宋" w:hAnsi="仿宋" w:cs="宋体" w:hint="eastAsia"/>
          <w:sz w:val="28"/>
          <w:szCs w:val="28"/>
        </w:rPr>
        <w:t>3、电  话/传真：010-82472805</w:t>
      </w:r>
    </w:p>
    <w:sectPr w:rsidR="00CA702B">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76AF2" w14:textId="77777777" w:rsidR="00297B9E" w:rsidRDefault="00297B9E">
      <w:r>
        <w:separator/>
      </w:r>
    </w:p>
  </w:endnote>
  <w:endnote w:type="continuationSeparator" w:id="0">
    <w:p w14:paraId="162F7CA6" w14:textId="77777777" w:rsidR="00297B9E" w:rsidRDefault="0029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5F64" w14:textId="77777777" w:rsidR="00CA702B" w:rsidRDefault="00000000">
    <w:pPr>
      <w:pStyle w:val="a4"/>
    </w:pPr>
    <w:r>
      <w:rPr>
        <w:noProof/>
      </w:rPr>
      <mc:AlternateContent>
        <mc:Choice Requires="wps">
          <w:drawing>
            <wp:anchor distT="0" distB="0" distL="114300" distR="114300" simplePos="0" relativeHeight="251659264" behindDoc="0" locked="0" layoutInCell="1" allowOverlap="1" wp14:anchorId="59DAABCF" wp14:editId="34FE0C8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25E59" w14:textId="77777777" w:rsidR="00CA702B"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DAABC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325E59" w14:textId="77777777" w:rsidR="00CA702B"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33EF9" w14:textId="77777777" w:rsidR="00297B9E" w:rsidRDefault="00297B9E">
      <w:r>
        <w:separator/>
      </w:r>
    </w:p>
  </w:footnote>
  <w:footnote w:type="continuationSeparator" w:id="0">
    <w:p w14:paraId="52BFE3E0" w14:textId="77777777" w:rsidR="00297B9E" w:rsidRDefault="00297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g1YTllOTdlYzdkY2M0Zjk0NGM4M2ZmMDI0ZDQ0YTYifQ=="/>
  </w:docVars>
  <w:rsids>
    <w:rsidRoot w:val="00027639"/>
    <w:rsid w:val="DB7D24D0"/>
    <w:rsid w:val="FEFF1028"/>
    <w:rsid w:val="00027639"/>
    <w:rsid w:val="000513B4"/>
    <w:rsid w:val="001C250E"/>
    <w:rsid w:val="002239AD"/>
    <w:rsid w:val="00250056"/>
    <w:rsid w:val="00297B9E"/>
    <w:rsid w:val="00381D72"/>
    <w:rsid w:val="00434A7F"/>
    <w:rsid w:val="0044601B"/>
    <w:rsid w:val="004F7BCB"/>
    <w:rsid w:val="005C1C7B"/>
    <w:rsid w:val="00601C67"/>
    <w:rsid w:val="006623E6"/>
    <w:rsid w:val="00697750"/>
    <w:rsid w:val="006C0AF0"/>
    <w:rsid w:val="006C5735"/>
    <w:rsid w:val="00843CF0"/>
    <w:rsid w:val="00852A43"/>
    <w:rsid w:val="00870260"/>
    <w:rsid w:val="00893A6E"/>
    <w:rsid w:val="008F5B4C"/>
    <w:rsid w:val="009A01C3"/>
    <w:rsid w:val="00A1286A"/>
    <w:rsid w:val="00C11E2C"/>
    <w:rsid w:val="00CA702B"/>
    <w:rsid w:val="00DD5753"/>
    <w:rsid w:val="00E11468"/>
    <w:rsid w:val="01316E7C"/>
    <w:rsid w:val="01516AF1"/>
    <w:rsid w:val="01987FE8"/>
    <w:rsid w:val="01AE4574"/>
    <w:rsid w:val="02246087"/>
    <w:rsid w:val="02283D27"/>
    <w:rsid w:val="02C16945"/>
    <w:rsid w:val="02E736C5"/>
    <w:rsid w:val="02EC7B2B"/>
    <w:rsid w:val="034A3564"/>
    <w:rsid w:val="03EF1A7B"/>
    <w:rsid w:val="04463A45"/>
    <w:rsid w:val="046B7B3A"/>
    <w:rsid w:val="04B540F9"/>
    <w:rsid w:val="04BF763A"/>
    <w:rsid w:val="04FE368F"/>
    <w:rsid w:val="05417508"/>
    <w:rsid w:val="059A1535"/>
    <w:rsid w:val="05CB627D"/>
    <w:rsid w:val="06D1078B"/>
    <w:rsid w:val="070257B1"/>
    <w:rsid w:val="070D763C"/>
    <w:rsid w:val="07103229"/>
    <w:rsid w:val="07107623"/>
    <w:rsid w:val="075305FE"/>
    <w:rsid w:val="075A03B2"/>
    <w:rsid w:val="078464D6"/>
    <w:rsid w:val="09CB1100"/>
    <w:rsid w:val="0A7210C7"/>
    <w:rsid w:val="0A737B86"/>
    <w:rsid w:val="0A8D5FD1"/>
    <w:rsid w:val="0A946EB5"/>
    <w:rsid w:val="0AE67746"/>
    <w:rsid w:val="0C216BA7"/>
    <w:rsid w:val="0C2A7A8F"/>
    <w:rsid w:val="0C5A58C0"/>
    <w:rsid w:val="0EBC2521"/>
    <w:rsid w:val="0ED41F07"/>
    <w:rsid w:val="0F25330D"/>
    <w:rsid w:val="0F724577"/>
    <w:rsid w:val="11335E1F"/>
    <w:rsid w:val="116C044F"/>
    <w:rsid w:val="127D248A"/>
    <w:rsid w:val="130C0529"/>
    <w:rsid w:val="13B93AA7"/>
    <w:rsid w:val="13F353AF"/>
    <w:rsid w:val="15962717"/>
    <w:rsid w:val="16C819B2"/>
    <w:rsid w:val="17405949"/>
    <w:rsid w:val="17E354E6"/>
    <w:rsid w:val="1839071D"/>
    <w:rsid w:val="19031FD6"/>
    <w:rsid w:val="1995519E"/>
    <w:rsid w:val="1B244036"/>
    <w:rsid w:val="1C5D7946"/>
    <w:rsid w:val="1C5E224C"/>
    <w:rsid w:val="1C6B75F8"/>
    <w:rsid w:val="1CA54A2B"/>
    <w:rsid w:val="1CFD2F9D"/>
    <w:rsid w:val="1D712F04"/>
    <w:rsid w:val="1D807902"/>
    <w:rsid w:val="1D8F101C"/>
    <w:rsid w:val="1DE87CF1"/>
    <w:rsid w:val="1ECD7B33"/>
    <w:rsid w:val="1F625EE4"/>
    <w:rsid w:val="1F7F5EEC"/>
    <w:rsid w:val="1F9B0676"/>
    <w:rsid w:val="209041B3"/>
    <w:rsid w:val="20E1336C"/>
    <w:rsid w:val="21363C77"/>
    <w:rsid w:val="214B1AB8"/>
    <w:rsid w:val="21D34E85"/>
    <w:rsid w:val="22146EA2"/>
    <w:rsid w:val="22205588"/>
    <w:rsid w:val="22602004"/>
    <w:rsid w:val="22B13BF7"/>
    <w:rsid w:val="22DE0403"/>
    <w:rsid w:val="232817FD"/>
    <w:rsid w:val="242C2EB1"/>
    <w:rsid w:val="245A6146"/>
    <w:rsid w:val="24DA76D0"/>
    <w:rsid w:val="25333A00"/>
    <w:rsid w:val="257162D7"/>
    <w:rsid w:val="25894AE9"/>
    <w:rsid w:val="25B463BE"/>
    <w:rsid w:val="25CF331C"/>
    <w:rsid w:val="25E42F4C"/>
    <w:rsid w:val="263B316A"/>
    <w:rsid w:val="263F0AFB"/>
    <w:rsid w:val="272A3D8F"/>
    <w:rsid w:val="27E234BC"/>
    <w:rsid w:val="27F40B59"/>
    <w:rsid w:val="281D624C"/>
    <w:rsid w:val="284A2E8F"/>
    <w:rsid w:val="285C24E1"/>
    <w:rsid w:val="28B7273F"/>
    <w:rsid w:val="28DF6826"/>
    <w:rsid w:val="29E54625"/>
    <w:rsid w:val="2A842608"/>
    <w:rsid w:val="2AE00186"/>
    <w:rsid w:val="2B1617BA"/>
    <w:rsid w:val="2C1B3710"/>
    <w:rsid w:val="2CF87677"/>
    <w:rsid w:val="2E9740EA"/>
    <w:rsid w:val="2EA919F7"/>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4D72C4"/>
    <w:rsid w:val="34857C70"/>
    <w:rsid w:val="34E84457"/>
    <w:rsid w:val="3504664F"/>
    <w:rsid w:val="35D00C4E"/>
    <w:rsid w:val="35EC51ED"/>
    <w:rsid w:val="35FC247C"/>
    <w:rsid w:val="3655075B"/>
    <w:rsid w:val="36E92171"/>
    <w:rsid w:val="374660BF"/>
    <w:rsid w:val="37476A89"/>
    <w:rsid w:val="377C07F6"/>
    <w:rsid w:val="387E2E52"/>
    <w:rsid w:val="38E27111"/>
    <w:rsid w:val="38F31DD6"/>
    <w:rsid w:val="393130F5"/>
    <w:rsid w:val="39E64B64"/>
    <w:rsid w:val="3A5B6E57"/>
    <w:rsid w:val="3B173090"/>
    <w:rsid w:val="3B1A08AC"/>
    <w:rsid w:val="3B5566D9"/>
    <w:rsid w:val="3C322776"/>
    <w:rsid w:val="3C9506A5"/>
    <w:rsid w:val="3CE734E8"/>
    <w:rsid w:val="3DEC596B"/>
    <w:rsid w:val="3E2E5006"/>
    <w:rsid w:val="3E5945DA"/>
    <w:rsid w:val="3E9B1F29"/>
    <w:rsid w:val="3EA01D70"/>
    <w:rsid w:val="3EBE7890"/>
    <w:rsid w:val="3ECB6600"/>
    <w:rsid w:val="3EE020AB"/>
    <w:rsid w:val="3EF65E41"/>
    <w:rsid w:val="41140FA4"/>
    <w:rsid w:val="414D55BF"/>
    <w:rsid w:val="415365F3"/>
    <w:rsid w:val="416D064F"/>
    <w:rsid w:val="42037909"/>
    <w:rsid w:val="421A65C9"/>
    <w:rsid w:val="445428A5"/>
    <w:rsid w:val="44F31B62"/>
    <w:rsid w:val="452300F9"/>
    <w:rsid w:val="454A4722"/>
    <w:rsid w:val="455A5594"/>
    <w:rsid w:val="45A21D6F"/>
    <w:rsid w:val="4607616F"/>
    <w:rsid w:val="46C85908"/>
    <w:rsid w:val="4740023F"/>
    <w:rsid w:val="47925F0D"/>
    <w:rsid w:val="47947ED7"/>
    <w:rsid w:val="480D306A"/>
    <w:rsid w:val="482F7BFF"/>
    <w:rsid w:val="485A43AD"/>
    <w:rsid w:val="49100BEF"/>
    <w:rsid w:val="493C25D4"/>
    <w:rsid w:val="49FA3E39"/>
    <w:rsid w:val="4B1D01E3"/>
    <w:rsid w:val="4B2105DB"/>
    <w:rsid w:val="4B935DB5"/>
    <w:rsid w:val="4C270A49"/>
    <w:rsid w:val="4C3F71EA"/>
    <w:rsid w:val="4CA23F11"/>
    <w:rsid w:val="4D01600E"/>
    <w:rsid w:val="4EB0783E"/>
    <w:rsid w:val="4F9B0500"/>
    <w:rsid w:val="4FFE3B4C"/>
    <w:rsid w:val="501E0B2E"/>
    <w:rsid w:val="508227B1"/>
    <w:rsid w:val="50843749"/>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C85650"/>
    <w:rsid w:val="581A2C5C"/>
    <w:rsid w:val="59183369"/>
    <w:rsid w:val="591D44D4"/>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FE3EA4"/>
    <w:rsid w:val="5E57605E"/>
    <w:rsid w:val="5F477CD2"/>
    <w:rsid w:val="5FDE1567"/>
    <w:rsid w:val="617E5305"/>
    <w:rsid w:val="61F90E67"/>
    <w:rsid w:val="620324DC"/>
    <w:rsid w:val="62157F05"/>
    <w:rsid w:val="62515973"/>
    <w:rsid w:val="63010E7F"/>
    <w:rsid w:val="631B72A6"/>
    <w:rsid w:val="635F7F10"/>
    <w:rsid w:val="63FA178C"/>
    <w:rsid w:val="63FF0115"/>
    <w:rsid w:val="64B1156D"/>
    <w:rsid w:val="64F6629B"/>
    <w:rsid w:val="65005A5A"/>
    <w:rsid w:val="652F01FE"/>
    <w:rsid w:val="65334239"/>
    <w:rsid w:val="65B82E88"/>
    <w:rsid w:val="65DF3E6E"/>
    <w:rsid w:val="66280DA5"/>
    <w:rsid w:val="677245A4"/>
    <w:rsid w:val="67B06A02"/>
    <w:rsid w:val="67CC4360"/>
    <w:rsid w:val="67D422AC"/>
    <w:rsid w:val="68407ECF"/>
    <w:rsid w:val="69AE723D"/>
    <w:rsid w:val="6A272DD0"/>
    <w:rsid w:val="6A4C1286"/>
    <w:rsid w:val="6AAD6029"/>
    <w:rsid w:val="6ADA3941"/>
    <w:rsid w:val="6B57393D"/>
    <w:rsid w:val="6B59096C"/>
    <w:rsid w:val="6CD3577D"/>
    <w:rsid w:val="6CDB2A7E"/>
    <w:rsid w:val="6DFB7150"/>
    <w:rsid w:val="6E7B18D7"/>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C53F91"/>
    <w:rsid w:val="77E02FA1"/>
    <w:rsid w:val="785A0282"/>
    <w:rsid w:val="789B48A7"/>
    <w:rsid w:val="78CF5E67"/>
    <w:rsid w:val="78E937EF"/>
    <w:rsid w:val="795C6A1C"/>
    <w:rsid w:val="79ED6E4F"/>
    <w:rsid w:val="7AB4450E"/>
    <w:rsid w:val="7AE373EA"/>
    <w:rsid w:val="7B5B0882"/>
    <w:rsid w:val="7B6F834D"/>
    <w:rsid w:val="7BDF724A"/>
    <w:rsid w:val="7BF658CD"/>
    <w:rsid w:val="7C6C3019"/>
    <w:rsid w:val="7C84619E"/>
    <w:rsid w:val="7CC16BC7"/>
    <w:rsid w:val="7CE253F0"/>
    <w:rsid w:val="7CE45748"/>
    <w:rsid w:val="7D030DF0"/>
    <w:rsid w:val="7D144014"/>
    <w:rsid w:val="7E721350"/>
    <w:rsid w:val="7E962F62"/>
    <w:rsid w:val="7FCD356F"/>
    <w:rsid w:val="7FFF04A0"/>
    <w:rsid w:val="9FEFB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F3ED35"/>
  <w15:docId w15:val="{6AFE72CB-BA0E-42DF-9A74-72F6BF7A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uiPriority="99"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pPr>
      <w:spacing w:after="120"/>
      <w:ind w:leftChars="200" w:left="4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Pr>
      <w:kern w:val="0"/>
      <w:sz w:val="24"/>
      <w:szCs w:val="24"/>
    </w:rPr>
  </w:style>
  <w:style w:type="paragraph" w:styleId="a8">
    <w:name w:val="Normal (Web)"/>
    <w:basedOn w:val="a"/>
    <w:uiPriority w:val="99"/>
    <w:qFormat/>
    <w:pPr>
      <w:spacing w:before="100" w:beforeAutospacing="1" w:after="100" w:afterAutospacing="1"/>
      <w:jc w:val="left"/>
    </w:pPr>
    <w:rPr>
      <w:kern w:val="0"/>
      <w:sz w:val="24"/>
    </w:rPr>
  </w:style>
  <w:style w:type="paragraph" w:styleId="20">
    <w:name w:val="Body Text First Indent 2"/>
    <w:basedOn w:val="a3"/>
    <w:next w:val="a"/>
    <w:uiPriority w:val="99"/>
    <w:qFormat/>
    <w:pPr>
      <w:tabs>
        <w:tab w:val="left" w:pos="-1440"/>
      </w:tabs>
      <w:autoSpaceDE w:val="0"/>
      <w:autoSpaceDN w:val="0"/>
      <w:adjustRightInd w:val="0"/>
      <w:spacing w:after="0" w:line="360" w:lineRule="auto"/>
      <w:ind w:leftChars="0" w:left="176" w:firstLineChars="200" w:firstLine="420"/>
      <w:jc w:val="left"/>
    </w:pPr>
    <w:rPr>
      <w:rFonts w:ascii="仿宋" w:eastAsia="仿宋" w:hint="eastAsia"/>
      <w:sz w:val="24"/>
      <w:szCs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Hyperlink"/>
    <w:basedOn w:val="a0"/>
    <w:qFormat/>
    <w:rPr>
      <w:color w:val="0000FF"/>
      <w:u w:val="single"/>
    </w:rPr>
  </w:style>
  <w:style w:type="paragraph" w:customStyle="1" w:styleId="10">
    <w:name w:val="列出段落1"/>
    <w:basedOn w:val="a"/>
    <w:uiPriority w:val="34"/>
    <w:qFormat/>
    <w:pPr>
      <w:ind w:leftChars="200" w:left="480"/>
    </w:p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启 李</cp:lastModifiedBy>
  <cp:revision>11</cp:revision>
  <dcterms:created xsi:type="dcterms:W3CDTF">2014-10-30T12:08:00Z</dcterms:created>
  <dcterms:modified xsi:type="dcterms:W3CDTF">2024-07-02T03:17:00Z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15FD9182AFC33857F3347566AB4909E1_43</vt:lpwstr>
  </property>
</Properties>
</file>